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0" w:firstLineChars="0"/>
        <w:jc w:val="center"/>
        <w:rPr>
          <w:rFonts w:hint="eastAsia" w:eastAsia="宋体"/>
          <w:b/>
          <w:color w:val="auto"/>
          <w:sz w:val="36"/>
          <w:szCs w:val="36"/>
          <w:lang w:eastAsia="zh-CN"/>
        </w:rPr>
      </w:pPr>
      <w:bookmarkStart w:id="1" w:name="_GoBack"/>
      <w:bookmarkEnd w:id="1"/>
      <w:r>
        <w:rPr>
          <w:rFonts w:hint="eastAsia"/>
          <w:b/>
          <w:color w:val="auto"/>
          <w:sz w:val="36"/>
          <w:szCs w:val="36"/>
          <w:lang w:eastAsia="zh-CN"/>
        </w:rPr>
        <w:t>荆州市艾佳华家具产业园项目</w:t>
      </w:r>
    </w:p>
    <w:p>
      <w:pPr>
        <w:pStyle w:val="7"/>
        <w:ind w:firstLine="0" w:firstLineChars="0"/>
        <w:jc w:val="center"/>
        <w:rPr>
          <w:b/>
          <w:color w:val="auto"/>
          <w:sz w:val="36"/>
          <w:szCs w:val="36"/>
        </w:rPr>
      </w:pPr>
      <w:r>
        <w:rPr>
          <w:b/>
          <w:color w:val="auto"/>
          <w:sz w:val="36"/>
          <w:szCs w:val="36"/>
        </w:rPr>
        <w:t>竣工环境保护验收意见</w:t>
      </w:r>
    </w:p>
    <w:p>
      <w:pPr>
        <w:ind w:firstLine="480" w:firstLineChars="200"/>
        <w:rPr>
          <w:color w:val="auto"/>
        </w:rPr>
      </w:pPr>
    </w:p>
    <w:p>
      <w:pPr>
        <w:ind w:firstLine="480" w:firstLineChars="200"/>
        <w:rPr>
          <w:color w:val="auto"/>
        </w:rPr>
      </w:pPr>
      <w:r>
        <w:rPr>
          <w:color w:val="auto"/>
        </w:rPr>
        <w:t>201</w:t>
      </w:r>
      <w:r>
        <w:rPr>
          <w:rFonts w:hint="eastAsia"/>
          <w:color w:val="auto"/>
        </w:rPr>
        <w:t>9</w:t>
      </w:r>
      <w:r>
        <w:rPr>
          <w:color w:val="auto"/>
        </w:rPr>
        <w:t>年</w:t>
      </w:r>
      <w:r>
        <w:rPr>
          <w:rFonts w:hint="eastAsia"/>
          <w:color w:val="auto"/>
          <w:lang w:val="en-US" w:eastAsia="zh-CN"/>
        </w:rPr>
        <w:t>12月4</w:t>
      </w:r>
      <w:r>
        <w:rPr>
          <w:color w:val="auto"/>
        </w:rPr>
        <w:t>日，</w:t>
      </w:r>
      <w:r>
        <w:rPr>
          <w:rFonts w:hint="eastAsia"/>
          <w:color w:val="auto"/>
          <w:szCs w:val="24"/>
          <w:lang w:eastAsia="zh-CN"/>
        </w:rPr>
        <w:t>荆州市艾佳华农林科技有限公司</w:t>
      </w:r>
      <w:r>
        <w:rPr>
          <w:color w:val="auto"/>
        </w:rPr>
        <w:t>根据</w:t>
      </w:r>
      <w:r>
        <w:rPr>
          <w:rFonts w:hint="eastAsia"/>
          <w:color w:val="auto"/>
          <w:lang w:eastAsia="zh-CN"/>
        </w:rPr>
        <w:t>荆州市艾佳华家具产业园项目</w:t>
      </w:r>
      <w:r>
        <w:rPr>
          <w:color w:val="auto"/>
        </w:rPr>
        <w:t>竣工环境保护验收监测报告并对照《建设项目竣工环境保护验收暂行办法》，严格依照国家有关法律法规、建设项目竣工环境保护验收技术规范指南、本项目环境影响报告书和审批部门审批决定等要求对本项目进行验收，提出意见如下：</w:t>
      </w:r>
    </w:p>
    <w:p>
      <w:pPr>
        <w:pStyle w:val="3"/>
        <w:rPr>
          <w:color w:val="auto"/>
          <w:sz w:val="28"/>
          <w:szCs w:val="28"/>
        </w:rPr>
      </w:pPr>
      <w:r>
        <w:rPr>
          <w:color w:val="auto"/>
          <w:sz w:val="28"/>
          <w:szCs w:val="28"/>
        </w:rPr>
        <w:t>一、工程建设基本情况</w:t>
      </w:r>
    </w:p>
    <w:p>
      <w:pPr>
        <w:pStyle w:val="4"/>
        <w:adjustRightInd/>
        <w:snapToGrid/>
        <w:rPr>
          <w:color w:val="auto"/>
        </w:rPr>
      </w:pPr>
      <w:r>
        <w:rPr>
          <w:color w:val="auto"/>
        </w:rPr>
        <w:t>1、建设地点、规模、主要建设内容</w:t>
      </w:r>
    </w:p>
    <w:p>
      <w:pPr>
        <w:ind w:firstLine="480" w:firstLineChars="200"/>
        <w:jc w:val="both"/>
        <w:rPr>
          <w:rFonts w:hint="eastAsia" w:eastAsia="宋体"/>
          <w:color w:val="auto"/>
          <w:kern w:val="0"/>
          <w:lang w:eastAsia="zh-CN" w:bidi="ar"/>
        </w:rPr>
      </w:pPr>
      <w:r>
        <w:rPr>
          <w:rFonts w:hint="default" w:ascii="Times New Roman" w:hAnsi="Times New Roman" w:cs="Times New Roman"/>
          <w:bCs/>
          <w:sz w:val="24"/>
          <w:szCs w:val="24"/>
          <w:lang w:eastAsia="zh-CN"/>
        </w:rPr>
        <w:t>荆州市艾佳华农林科技有限公司</w:t>
      </w:r>
      <w:r>
        <w:rPr>
          <w:rFonts w:hint="default" w:ascii="Times New Roman" w:hAnsi="Times New Roman" w:cs="Times New Roman"/>
          <w:bCs/>
          <w:sz w:val="24"/>
          <w:szCs w:val="24"/>
        </w:rPr>
        <w:t>位于</w:t>
      </w:r>
      <w:r>
        <w:rPr>
          <w:rFonts w:hint="default" w:ascii="Times New Roman" w:hAnsi="Times New Roman" w:cs="Times New Roman"/>
          <w:bCs/>
          <w:sz w:val="24"/>
          <w:szCs w:val="24"/>
          <w:lang w:eastAsia="zh-CN"/>
        </w:rPr>
        <w:t>荆州市太湖农场，北侧为新</w:t>
      </w:r>
      <w:r>
        <w:rPr>
          <w:rFonts w:hint="default" w:ascii="Times New Roman" w:hAnsi="Times New Roman" w:cs="Times New Roman"/>
          <w:bCs/>
          <w:sz w:val="24"/>
          <w:szCs w:val="24"/>
          <w:lang w:val="en-US" w:eastAsia="zh-CN"/>
        </w:rPr>
        <w:t>318国道，南侧为旧318国道</w:t>
      </w:r>
      <w:r>
        <w:rPr>
          <w:rFonts w:hint="eastAsia"/>
          <w:color w:val="auto"/>
        </w:rPr>
        <w:t>。项目建设有2栋生产车间，1栋仓库，1栋食堂和1栋员工宿舍</w:t>
      </w:r>
      <w:r>
        <w:rPr>
          <w:rFonts w:hint="eastAsia"/>
          <w:color w:val="auto"/>
          <w:lang w:eastAsia="zh-CN"/>
        </w:rPr>
        <w:t>，建成后</w:t>
      </w:r>
      <w:r>
        <w:rPr>
          <w:rFonts w:hint="eastAsia"/>
          <w:sz w:val="24"/>
          <w:szCs w:val="24"/>
          <w:lang w:val="en-US" w:eastAsia="zh-CN"/>
        </w:rPr>
        <w:t>年产家具10200件</w:t>
      </w:r>
    </w:p>
    <w:p>
      <w:pPr>
        <w:pStyle w:val="4"/>
        <w:keepNext/>
        <w:keepLines w:val="0"/>
        <w:pageBreakBefore w:val="0"/>
        <w:widowControl w:val="0"/>
        <w:numPr>
          <w:ilvl w:val="0"/>
          <w:numId w:val="2"/>
        </w:numPr>
        <w:kinsoku/>
        <w:wordWrap/>
        <w:overflowPunct/>
        <w:topLinePunct w:val="0"/>
        <w:autoSpaceDE/>
        <w:autoSpaceDN/>
        <w:bidi w:val="0"/>
        <w:adjustRightInd/>
        <w:snapToGrid/>
        <w:spacing w:before="0" w:beforeLines="0"/>
        <w:ind w:left="420" w:hanging="420"/>
        <w:textAlignment w:val="auto"/>
        <w:rPr>
          <w:color w:val="auto"/>
        </w:rPr>
      </w:pPr>
      <w:r>
        <w:rPr>
          <w:color w:val="auto"/>
        </w:rPr>
        <w:t>建设过程及环保审批情况</w:t>
      </w:r>
    </w:p>
    <w:p>
      <w:pPr>
        <w:ind w:firstLine="480" w:firstLineChars="200"/>
        <w:outlineLvl w:val="1"/>
        <w:rPr>
          <w:color w:val="auto"/>
        </w:rPr>
      </w:pPr>
      <w:bookmarkStart w:id="0" w:name="_Hlk12133397"/>
      <w:r>
        <w:rPr>
          <w:rFonts w:hint="eastAsia"/>
          <w:color w:val="auto"/>
        </w:rPr>
        <w:t>荆州市艾佳华农林科技有限公司于2018年11月委托荆州环境保护科学技术有限公司进行荆州市艾佳华家具产业园项目环境影响评价工作，2018年12月荆州市环境保护局荆州分局以荆分环保审文[2018]95号对该项目进行了批复。</w:t>
      </w:r>
    </w:p>
    <w:p>
      <w:pPr>
        <w:outlineLvl w:val="1"/>
        <w:rPr>
          <w:b/>
          <w:color w:val="auto"/>
        </w:rPr>
      </w:pPr>
      <w:r>
        <w:rPr>
          <w:b/>
          <w:color w:val="auto"/>
        </w:rPr>
        <w:t>3、投资情况</w:t>
      </w:r>
    </w:p>
    <w:bookmarkEnd w:id="0"/>
    <w:p>
      <w:pPr>
        <w:ind w:firstLine="482"/>
        <w:rPr>
          <w:color w:val="auto"/>
        </w:rPr>
      </w:pPr>
      <w:r>
        <w:rPr>
          <w:rFonts w:hint="eastAsia"/>
          <w:color w:val="auto"/>
        </w:rPr>
        <w:t>本</w:t>
      </w:r>
      <w:r>
        <w:rPr>
          <w:rFonts w:hint="eastAsia"/>
          <w:color w:val="auto"/>
          <w:lang w:eastAsia="zh-CN"/>
        </w:rPr>
        <w:t>项目实际</w:t>
      </w:r>
      <w:r>
        <w:rPr>
          <w:color w:val="auto"/>
        </w:rPr>
        <w:t>总投资</w:t>
      </w:r>
      <w:r>
        <w:rPr>
          <w:rFonts w:hint="eastAsia"/>
          <w:color w:val="auto"/>
          <w:lang w:val="en-US" w:eastAsia="zh-CN"/>
        </w:rPr>
        <w:t>1500</w:t>
      </w:r>
      <w:r>
        <w:rPr>
          <w:color w:val="auto"/>
        </w:rPr>
        <w:t>万元，其中环保投资</w:t>
      </w:r>
      <w:r>
        <w:rPr>
          <w:rFonts w:hint="eastAsia"/>
          <w:color w:val="auto"/>
          <w:lang w:val="en-US" w:eastAsia="zh-CN"/>
        </w:rPr>
        <w:t>77</w:t>
      </w:r>
      <w:r>
        <w:rPr>
          <w:color w:val="auto"/>
        </w:rPr>
        <w:t>万元，占总投资</w:t>
      </w:r>
      <w:r>
        <w:rPr>
          <w:rFonts w:hint="eastAsia"/>
          <w:color w:val="auto"/>
          <w:lang w:val="en-US" w:eastAsia="zh-CN"/>
        </w:rPr>
        <w:t>5.1</w:t>
      </w:r>
      <w:r>
        <w:rPr>
          <w:color w:val="auto"/>
        </w:rPr>
        <w:t>%。</w:t>
      </w:r>
    </w:p>
    <w:p>
      <w:pPr>
        <w:pStyle w:val="2"/>
        <w:numPr>
          <w:ilvl w:val="0"/>
          <w:numId w:val="0"/>
        </w:numPr>
        <w:ind w:leftChars="0"/>
        <w:jc w:val="both"/>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eastAsia="宋体" w:cs="Times New Roman"/>
          <w:b/>
          <w:color w:val="auto"/>
          <w:kern w:val="2"/>
          <w:sz w:val="24"/>
          <w:szCs w:val="24"/>
          <w:lang w:val="en-US" w:eastAsia="zh-CN" w:bidi="ar-SA"/>
        </w:rPr>
        <w:t>4、项目变更及验收范围</w:t>
      </w:r>
    </w:p>
    <w:tbl>
      <w:tblPr>
        <w:tblStyle w:val="28"/>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31"/>
        <w:gridCol w:w="213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9" w:type="pct"/>
            <w:tcBorders>
              <w:tl2br w:val="nil"/>
              <w:tr2bl w:val="nil"/>
            </w:tcBorders>
            <w:vAlign w:val="center"/>
          </w:tcPr>
          <w:p>
            <w:pPr>
              <w:pStyle w:val="4"/>
              <w:keepLines w:val="0"/>
              <w:suppressLineNumbers w:val="0"/>
              <w:adjustRightInd w:val="0"/>
              <w:snapToGrid w:val="0"/>
              <w:spacing w:beforeAutospacing="0" w:after="0" w:afterAutospacing="0" w:line="240" w:lineRule="auto"/>
              <w:ind w:right="0"/>
              <w:jc w:val="center"/>
              <w:rPr>
                <w:rFonts w:hint="default" w:ascii="Times New Roman" w:hAnsi="Times New Roman" w:eastAsia="宋体" w:cs="Times New Roman"/>
                <w:b/>
                <w:sz w:val="21"/>
                <w:szCs w:val="21"/>
                <w:vertAlign w:val="baseline"/>
                <w:lang w:eastAsia="zh-CN"/>
              </w:rPr>
            </w:pPr>
            <w:r>
              <w:rPr>
                <w:rFonts w:hint="default" w:ascii="Times New Roman" w:hAnsi="Times New Roman" w:cs="Times New Roman"/>
                <w:b/>
                <w:sz w:val="21"/>
                <w:szCs w:val="21"/>
                <w:vertAlign w:val="baseline"/>
                <w:lang w:eastAsia="zh-CN"/>
              </w:rPr>
              <w:t>项目</w:t>
            </w:r>
          </w:p>
        </w:tc>
        <w:tc>
          <w:tcPr>
            <w:tcW w:w="1249" w:type="pct"/>
            <w:tcBorders>
              <w:tl2br w:val="nil"/>
              <w:tr2bl w:val="nil"/>
            </w:tcBorders>
            <w:vAlign w:val="center"/>
          </w:tcPr>
          <w:p>
            <w:pPr>
              <w:pStyle w:val="4"/>
              <w:keepLines w:val="0"/>
              <w:suppressLineNumbers w:val="0"/>
              <w:adjustRightInd w:val="0"/>
              <w:snapToGrid w:val="0"/>
              <w:spacing w:beforeAutospacing="0" w:after="0" w:afterAutospacing="0" w:line="240" w:lineRule="auto"/>
              <w:ind w:right="0"/>
              <w:jc w:val="center"/>
              <w:rPr>
                <w:rFonts w:hint="default" w:ascii="Times New Roman" w:hAnsi="Times New Roman" w:eastAsia="宋体" w:cs="Times New Roman"/>
                <w:b/>
                <w:sz w:val="21"/>
                <w:szCs w:val="21"/>
                <w:vertAlign w:val="baseline"/>
                <w:lang w:eastAsia="zh-CN"/>
              </w:rPr>
            </w:pPr>
            <w:r>
              <w:rPr>
                <w:rFonts w:hint="default" w:ascii="Times New Roman" w:hAnsi="Times New Roman" w:cs="Times New Roman"/>
                <w:b/>
                <w:sz w:val="21"/>
                <w:szCs w:val="21"/>
                <w:vertAlign w:val="baseline"/>
                <w:lang w:eastAsia="zh-CN"/>
              </w:rPr>
              <w:t>环评设计情况</w:t>
            </w:r>
          </w:p>
        </w:tc>
        <w:tc>
          <w:tcPr>
            <w:tcW w:w="1250" w:type="pct"/>
            <w:tcBorders>
              <w:tl2br w:val="nil"/>
              <w:tr2bl w:val="nil"/>
            </w:tcBorders>
            <w:vAlign w:val="center"/>
          </w:tcPr>
          <w:p>
            <w:pPr>
              <w:pStyle w:val="4"/>
              <w:keepLines w:val="0"/>
              <w:suppressLineNumbers w:val="0"/>
              <w:adjustRightInd w:val="0"/>
              <w:snapToGrid w:val="0"/>
              <w:spacing w:beforeAutospacing="0" w:after="0" w:afterAutospacing="0" w:line="240" w:lineRule="auto"/>
              <w:ind w:right="0"/>
              <w:jc w:val="center"/>
              <w:rPr>
                <w:rFonts w:hint="default" w:ascii="Times New Roman" w:hAnsi="Times New Roman" w:eastAsia="宋体" w:cs="Times New Roman"/>
                <w:b/>
                <w:sz w:val="21"/>
                <w:szCs w:val="21"/>
                <w:vertAlign w:val="baseline"/>
                <w:lang w:eastAsia="zh-CN"/>
              </w:rPr>
            </w:pPr>
            <w:r>
              <w:rPr>
                <w:rFonts w:hint="default" w:ascii="Times New Roman" w:hAnsi="Times New Roman" w:cs="Times New Roman"/>
                <w:b/>
                <w:sz w:val="21"/>
                <w:szCs w:val="21"/>
                <w:vertAlign w:val="baseline"/>
                <w:lang w:eastAsia="zh-CN"/>
              </w:rPr>
              <w:t>实际建设情况</w:t>
            </w:r>
          </w:p>
        </w:tc>
        <w:tc>
          <w:tcPr>
            <w:tcW w:w="1249" w:type="pct"/>
            <w:tcBorders>
              <w:tl2br w:val="nil"/>
              <w:tr2bl w:val="nil"/>
            </w:tcBorders>
            <w:vAlign w:val="center"/>
          </w:tcPr>
          <w:p>
            <w:pPr>
              <w:pStyle w:val="4"/>
              <w:keepLines w:val="0"/>
              <w:suppressLineNumbers w:val="0"/>
              <w:adjustRightInd w:val="0"/>
              <w:snapToGrid w:val="0"/>
              <w:spacing w:beforeAutospacing="0" w:after="0" w:afterAutospacing="0" w:line="240" w:lineRule="auto"/>
              <w:ind w:right="0"/>
              <w:jc w:val="center"/>
              <w:rPr>
                <w:rFonts w:hint="default" w:ascii="Times New Roman" w:hAnsi="Times New Roman" w:cs="Times New Roman"/>
                <w:b/>
                <w:sz w:val="21"/>
                <w:szCs w:val="21"/>
                <w:vertAlign w:val="baseline"/>
                <w:lang w:eastAsia="zh-CN"/>
              </w:rPr>
            </w:pPr>
            <w:r>
              <w:rPr>
                <w:rFonts w:hint="default" w:ascii="Times New Roman" w:hAnsi="Times New Roman" w:cs="Times New Roman"/>
                <w:b/>
                <w:sz w:val="21"/>
                <w:szCs w:val="21"/>
                <w:vertAlign w:val="baseline"/>
                <w:lang w:eastAsia="zh-CN"/>
              </w:rPr>
              <w:t>变更情况说明</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9" w:type="pct"/>
            <w:tcBorders>
              <w:tl2br w:val="nil"/>
              <w:tr2bl w:val="nil"/>
            </w:tcBorders>
            <w:vAlign w:val="center"/>
          </w:tcPr>
          <w:p>
            <w:pPr>
              <w:pStyle w:val="4"/>
              <w:keepLines w:val="0"/>
              <w:suppressLineNumbers w:val="0"/>
              <w:adjustRightInd w:val="0"/>
              <w:snapToGrid w:val="0"/>
              <w:spacing w:beforeAutospacing="0" w:after="0" w:afterAutospacing="0" w:line="240" w:lineRule="auto"/>
              <w:ind w:right="0"/>
              <w:jc w:val="center"/>
              <w:rPr>
                <w:rFonts w:hint="default" w:ascii="Times New Roman" w:hAnsi="Times New Roman" w:eastAsia="宋体" w:cs="Times New Roman"/>
                <w:b w:val="0"/>
                <w:bCs/>
                <w:sz w:val="21"/>
                <w:szCs w:val="21"/>
                <w:vertAlign w:val="baseline"/>
                <w:lang w:eastAsia="zh-CN"/>
              </w:rPr>
            </w:pPr>
            <w:r>
              <w:rPr>
                <w:rFonts w:hint="eastAsia" w:ascii="Times New Roman" w:hAnsi="Times New Roman" w:cs="Times New Roman"/>
                <w:b w:val="0"/>
                <w:bCs/>
                <w:sz w:val="21"/>
                <w:szCs w:val="21"/>
                <w:vertAlign w:val="baseline"/>
                <w:lang w:eastAsia="zh-CN"/>
              </w:rPr>
              <w:t>建设内容</w:t>
            </w:r>
          </w:p>
        </w:tc>
        <w:tc>
          <w:tcPr>
            <w:tcW w:w="1249" w:type="pct"/>
            <w:tcBorders>
              <w:tl2br w:val="nil"/>
              <w:tr2bl w:val="nil"/>
            </w:tcBorders>
            <w:vAlign w:val="center"/>
          </w:tcPr>
          <w:p>
            <w:pPr>
              <w:pStyle w:val="4"/>
              <w:keepLines w:val="0"/>
              <w:suppressLineNumbers w:val="0"/>
              <w:adjustRightInd w:val="0"/>
              <w:snapToGrid w:val="0"/>
              <w:spacing w:beforeAutospacing="0" w:after="0" w:afterAutospacing="0" w:line="240" w:lineRule="auto"/>
              <w:ind w:right="0"/>
              <w:jc w:val="center"/>
              <w:rPr>
                <w:rFonts w:hint="default" w:ascii="Times New Roman" w:hAnsi="Times New Roman" w:eastAsia="宋体" w:cs="Times New Roman"/>
                <w:b w:val="0"/>
                <w:bCs/>
                <w:sz w:val="21"/>
                <w:szCs w:val="21"/>
                <w:vertAlign w:val="baseline"/>
                <w:lang w:val="en-US" w:eastAsia="zh-CN"/>
              </w:rPr>
            </w:pPr>
            <w:r>
              <w:rPr>
                <w:rFonts w:hint="eastAsia" w:ascii="Times New Roman" w:hAnsi="Times New Roman" w:cs="Times New Roman"/>
                <w:b w:val="0"/>
                <w:bCs/>
                <w:sz w:val="21"/>
                <w:szCs w:val="21"/>
                <w:vertAlign w:val="baseline"/>
                <w:lang w:val="en-US" w:eastAsia="zh-CN"/>
              </w:rPr>
              <w:t>3栋车间、1栋仓库、1栋展厅</w:t>
            </w:r>
          </w:p>
        </w:tc>
        <w:tc>
          <w:tcPr>
            <w:tcW w:w="1250" w:type="pct"/>
            <w:tcBorders>
              <w:tl2br w:val="nil"/>
              <w:tr2bl w:val="nil"/>
            </w:tcBorders>
            <w:vAlign w:val="center"/>
          </w:tcPr>
          <w:p>
            <w:pPr>
              <w:pStyle w:val="4"/>
              <w:keepLines w:val="0"/>
              <w:suppressLineNumbers w:val="0"/>
              <w:adjustRightInd w:val="0"/>
              <w:snapToGrid w:val="0"/>
              <w:spacing w:beforeAutospacing="0" w:after="0" w:afterAutospacing="0" w:line="240" w:lineRule="auto"/>
              <w:ind w:right="0"/>
              <w:jc w:val="center"/>
              <w:rPr>
                <w:rFonts w:hint="default" w:ascii="Times New Roman" w:hAnsi="Times New Roman" w:eastAsia="宋体" w:cs="Times New Roman"/>
                <w:b w:val="0"/>
                <w:bCs/>
                <w:sz w:val="21"/>
                <w:szCs w:val="21"/>
                <w:vertAlign w:val="baseline"/>
                <w:lang w:val="en-US" w:eastAsia="zh-CN"/>
              </w:rPr>
            </w:pPr>
            <w:r>
              <w:rPr>
                <w:rFonts w:hint="eastAsia" w:ascii="Times New Roman" w:hAnsi="Times New Roman" w:cs="Times New Roman"/>
                <w:b w:val="0"/>
                <w:bCs/>
                <w:sz w:val="21"/>
                <w:szCs w:val="21"/>
                <w:vertAlign w:val="baseline"/>
                <w:lang w:val="en-US" w:eastAsia="zh-CN"/>
              </w:rPr>
              <w:t>2栋车间、1栋仓库</w:t>
            </w:r>
          </w:p>
        </w:tc>
        <w:tc>
          <w:tcPr>
            <w:tcW w:w="1249" w:type="pct"/>
            <w:tcBorders>
              <w:tl2br w:val="nil"/>
              <w:tr2bl w:val="nil"/>
            </w:tcBorders>
            <w:vAlign w:val="center"/>
          </w:tcPr>
          <w:p>
            <w:pPr>
              <w:pStyle w:val="4"/>
              <w:keepLines w:val="0"/>
              <w:suppressLineNumbers w:val="0"/>
              <w:adjustRightInd w:val="0"/>
              <w:snapToGrid w:val="0"/>
              <w:spacing w:beforeAutospacing="0" w:after="0" w:afterAutospacing="0" w:line="240" w:lineRule="auto"/>
              <w:ind w:right="0"/>
              <w:jc w:val="center"/>
              <w:rPr>
                <w:rFonts w:hint="default" w:ascii="Times New Roman" w:hAnsi="Times New Roman" w:eastAsia="宋体" w:cs="Times New Roman"/>
                <w:b w:val="0"/>
                <w:bCs/>
                <w:sz w:val="21"/>
                <w:szCs w:val="21"/>
                <w:vertAlign w:val="baseline"/>
                <w:lang w:eastAsia="zh-CN"/>
              </w:rPr>
            </w:pPr>
            <w:r>
              <w:rPr>
                <w:rFonts w:hint="eastAsia" w:ascii="Times New Roman" w:hAnsi="Times New Roman" w:cs="Times New Roman"/>
                <w:b w:val="0"/>
                <w:bCs/>
                <w:sz w:val="21"/>
                <w:szCs w:val="21"/>
                <w:vertAlign w:val="baseline"/>
                <w:lang w:eastAsia="zh-CN"/>
              </w:rPr>
              <w:t>由于规划及居民点原因，项目未建设建筑取消建设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9" w:type="pct"/>
            <w:tcBorders>
              <w:tl2br w:val="nil"/>
              <w:tr2bl w:val="nil"/>
            </w:tcBorders>
            <w:vAlign w:val="center"/>
          </w:tcPr>
          <w:p>
            <w:pPr>
              <w:pStyle w:val="4"/>
              <w:keepLines w:val="0"/>
              <w:suppressLineNumbers w:val="0"/>
              <w:adjustRightInd w:val="0"/>
              <w:snapToGrid w:val="0"/>
              <w:spacing w:beforeAutospacing="0" w:after="0" w:afterAutospacing="0" w:line="240" w:lineRule="auto"/>
              <w:ind w:right="0"/>
              <w:jc w:val="center"/>
              <w:rPr>
                <w:rFonts w:hint="default" w:ascii="Times New Roman" w:hAnsi="Times New Roman" w:cs="Times New Roman"/>
                <w:b w:val="0"/>
                <w:bCs/>
                <w:sz w:val="21"/>
                <w:szCs w:val="21"/>
                <w:vertAlign w:val="baseline"/>
                <w:lang w:eastAsia="zh-CN"/>
              </w:rPr>
            </w:pPr>
            <w:r>
              <w:rPr>
                <w:rFonts w:hint="eastAsia" w:ascii="Times New Roman" w:hAnsi="Times New Roman" w:cs="Times New Roman"/>
                <w:b w:val="0"/>
                <w:bCs/>
                <w:sz w:val="21"/>
                <w:szCs w:val="21"/>
                <w:vertAlign w:val="baseline"/>
                <w:lang w:eastAsia="zh-CN"/>
              </w:rPr>
              <w:t>喷涂</w:t>
            </w:r>
          </w:p>
        </w:tc>
        <w:tc>
          <w:tcPr>
            <w:tcW w:w="1249" w:type="pct"/>
            <w:tcBorders>
              <w:tl2br w:val="nil"/>
              <w:tr2bl w:val="nil"/>
            </w:tcBorders>
            <w:vAlign w:val="center"/>
          </w:tcPr>
          <w:p>
            <w:pPr>
              <w:pStyle w:val="4"/>
              <w:keepLines w:val="0"/>
              <w:suppressLineNumbers w:val="0"/>
              <w:adjustRightInd w:val="0"/>
              <w:snapToGrid w:val="0"/>
              <w:spacing w:beforeAutospacing="0" w:after="0" w:afterAutospacing="0" w:line="240" w:lineRule="auto"/>
              <w:ind w:right="0"/>
              <w:jc w:val="center"/>
              <w:rPr>
                <w:rFonts w:hint="default" w:ascii="Times New Roman" w:hAnsi="Times New Roman" w:cs="Times New Roman"/>
                <w:b w:val="0"/>
                <w:bCs/>
                <w:sz w:val="21"/>
                <w:szCs w:val="21"/>
                <w:vertAlign w:val="baseline"/>
                <w:lang w:val="en-US" w:eastAsia="zh-CN"/>
              </w:rPr>
            </w:pPr>
            <w:r>
              <w:rPr>
                <w:rFonts w:hint="eastAsia" w:ascii="Times New Roman" w:hAnsi="Times New Roman" w:cs="Times New Roman"/>
                <w:b w:val="0"/>
                <w:bCs/>
                <w:sz w:val="21"/>
                <w:szCs w:val="21"/>
                <w:vertAlign w:val="baseline"/>
                <w:lang w:val="en-US" w:eastAsia="zh-CN"/>
              </w:rPr>
              <w:t>厂区内设置3间喷漆间</w:t>
            </w:r>
          </w:p>
        </w:tc>
        <w:tc>
          <w:tcPr>
            <w:tcW w:w="1250" w:type="pct"/>
            <w:tcBorders>
              <w:tl2br w:val="nil"/>
              <w:tr2bl w:val="nil"/>
            </w:tcBorders>
            <w:vAlign w:val="center"/>
          </w:tcPr>
          <w:p>
            <w:pPr>
              <w:pStyle w:val="4"/>
              <w:keepLines w:val="0"/>
              <w:suppressLineNumbers w:val="0"/>
              <w:adjustRightInd w:val="0"/>
              <w:snapToGrid w:val="0"/>
              <w:spacing w:beforeAutospacing="0" w:after="0" w:afterAutospacing="0" w:line="240" w:lineRule="auto"/>
              <w:ind w:right="0"/>
              <w:jc w:val="center"/>
              <w:rPr>
                <w:rFonts w:hint="default" w:ascii="Times New Roman" w:hAnsi="Times New Roman" w:cs="Times New Roman"/>
                <w:b w:val="0"/>
                <w:bCs/>
                <w:sz w:val="21"/>
                <w:szCs w:val="21"/>
                <w:vertAlign w:val="baseline"/>
                <w:lang w:val="en-US" w:eastAsia="zh-CN"/>
              </w:rPr>
            </w:pPr>
            <w:r>
              <w:rPr>
                <w:rFonts w:hint="eastAsia" w:ascii="Times New Roman" w:hAnsi="Times New Roman" w:cs="Times New Roman"/>
                <w:b w:val="0"/>
                <w:bCs/>
                <w:sz w:val="21"/>
                <w:szCs w:val="21"/>
                <w:vertAlign w:val="baseline"/>
                <w:lang w:val="en-US" w:eastAsia="zh-CN"/>
              </w:rPr>
              <w:t>委托其他企业处理</w:t>
            </w:r>
          </w:p>
        </w:tc>
        <w:tc>
          <w:tcPr>
            <w:tcW w:w="1249" w:type="pct"/>
            <w:tcBorders>
              <w:tl2br w:val="nil"/>
              <w:tr2bl w:val="nil"/>
            </w:tcBorders>
            <w:vAlign w:val="center"/>
          </w:tcPr>
          <w:p>
            <w:pPr>
              <w:pStyle w:val="4"/>
              <w:keepLines w:val="0"/>
              <w:suppressLineNumbers w:val="0"/>
              <w:adjustRightInd w:val="0"/>
              <w:snapToGrid w:val="0"/>
              <w:spacing w:beforeAutospacing="0" w:after="0" w:afterAutospacing="0" w:line="240" w:lineRule="auto"/>
              <w:ind w:right="0"/>
              <w:jc w:val="center"/>
              <w:rPr>
                <w:rFonts w:hint="default" w:ascii="Times New Roman" w:hAnsi="Times New Roman" w:cs="Times New Roman"/>
                <w:b w:val="0"/>
                <w:bCs/>
                <w:sz w:val="21"/>
                <w:szCs w:val="21"/>
                <w:vertAlign w:val="baseline"/>
                <w:lang w:val="en-US" w:eastAsia="zh-CN"/>
              </w:rPr>
            </w:pPr>
            <w:r>
              <w:rPr>
                <w:rFonts w:hint="eastAsia" w:ascii="Times New Roman" w:hAnsi="Times New Roman" w:cs="Times New Roman"/>
                <w:b w:val="0"/>
                <w:bCs/>
                <w:sz w:val="21"/>
                <w:szCs w:val="21"/>
                <w:vertAlign w:val="baseline"/>
                <w:lang w:val="en-US" w:eastAsia="zh-CN"/>
              </w:rPr>
              <w:t>/</w:t>
            </w:r>
          </w:p>
        </w:tc>
      </w:tr>
    </w:tbl>
    <w:p>
      <w:pPr>
        <w:pStyle w:val="2"/>
        <w:numPr>
          <w:ilvl w:val="0"/>
          <w:numId w:val="0"/>
        </w:numPr>
        <w:ind w:leftChars="0" w:firstLine="480" w:firstLineChars="200"/>
        <w:jc w:val="both"/>
        <w:rPr>
          <w:rFonts w:hint="eastAsia" w:ascii="Times New Roman" w:hAnsi="Times New Roman" w:eastAsia="宋体" w:cs="Times New Roman"/>
          <w:color w:val="auto"/>
          <w:kern w:val="2"/>
          <w:sz w:val="24"/>
          <w:szCs w:val="24"/>
          <w:lang w:val="en-US" w:eastAsia="zh-CN" w:bidi="ar-SA"/>
        </w:rPr>
      </w:pPr>
    </w:p>
    <w:p>
      <w:pPr>
        <w:pStyle w:val="3"/>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二、环境保护设施建设情况</w:t>
      </w:r>
    </w:p>
    <w:p>
      <w:pPr>
        <w:pStyle w:val="4"/>
        <w:adjustRightInd/>
        <w:snapToGrid/>
        <w:rPr>
          <w:color w:val="auto"/>
        </w:rPr>
      </w:pPr>
      <w:r>
        <w:rPr>
          <w:color w:val="auto"/>
        </w:rPr>
        <w:t>1、废水</w:t>
      </w:r>
    </w:p>
    <w:p>
      <w:pPr>
        <w:pStyle w:val="38"/>
        <w:adjustRightInd w:val="0"/>
        <w:snapToGrid w:val="0"/>
        <w:spacing w:after="0"/>
        <w:ind w:firstLine="480"/>
        <w:rPr>
          <w:rFonts w:hint="eastAsia"/>
          <w:szCs w:val="24"/>
        </w:rPr>
      </w:pPr>
      <w:r>
        <w:rPr>
          <w:rFonts w:hint="eastAsia"/>
          <w:szCs w:val="24"/>
        </w:rPr>
        <w:t>项目废水</w:t>
      </w:r>
      <w:r>
        <w:rPr>
          <w:rFonts w:hint="eastAsia"/>
          <w:szCs w:val="24"/>
          <w:lang w:eastAsia="zh-CN"/>
        </w:rPr>
        <w:t>主要为生活污水</w:t>
      </w:r>
      <w:r>
        <w:rPr>
          <w:rFonts w:hint="eastAsia"/>
          <w:szCs w:val="24"/>
        </w:rPr>
        <w:t>。</w:t>
      </w:r>
    </w:p>
    <w:p>
      <w:pPr>
        <w:pStyle w:val="2"/>
        <w:ind w:firstLine="480" w:firstLineChars="200"/>
        <w:jc w:val="both"/>
        <w:rPr>
          <w:rFonts w:hint="eastAsia" w:eastAsia="宋体"/>
          <w:color w:val="auto"/>
          <w:lang w:eastAsia="zh-CN"/>
        </w:rPr>
      </w:pPr>
      <w:r>
        <w:rPr>
          <w:rFonts w:hint="eastAsia"/>
          <w:szCs w:val="24"/>
          <w:lang w:eastAsia="zh-CN"/>
        </w:rPr>
        <w:t>生活</w:t>
      </w:r>
      <w:r>
        <w:rPr>
          <w:rFonts w:hint="eastAsia"/>
          <w:szCs w:val="24"/>
        </w:rPr>
        <w:t>污水主要污染物为COD、SS、氨氮</w:t>
      </w:r>
      <w:r>
        <w:rPr>
          <w:rFonts w:hint="eastAsia"/>
          <w:szCs w:val="24"/>
          <w:lang w:eastAsia="zh-CN"/>
        </w:rPr>
        <w:t>、动物植物油和</w:t>
      </w:r>
      <w:r>
        <w:rPr>
          <w:rFonts w:hint="eastAsia"/>
          <w:szCs w:val="24"/>
        </w:rPr>
        <w:t>BOD</w:t>
      </w:r>
      <w:r>
        <w:rPr>
          <w:rFonts w:hint="eastAsia"/>
          <w:szCs w:val="24"/>
          <w:vertAlign w:val="subscript"/>
        </w:rPr>
        <w:t>5</w:t>
      </w:r>
      <w:r>
        <w:rPr>
          <w:rFonts w:hint="eastAsia"/>
          <w:szCs w:val="24"/>
          <w:vertAlign w:val="baseline"/>
          <w:lang w:eastAsia="zh-CN"/>
        </w:rPr>
        <w:t>，</w:t>
      </w:r>
      <w:r>
        <w:rPr>
          <w:rFonts w:hint="eastAsia"/>
          <w:szCs w:val="24"/>
          <w:lang w:eastAsia="zh-CN"/>
        </w:rPr>
        <w:t>通过化粪池处理后用于厂区绿化施肥。</w:t>
      </w:r>
    </w:p>
    <w:p>
      <w:pPr>
        <w:pStyle w:val="4"/>
        <w:adjustRightInd/>
        <w:snapToGrid/>
        <w:ind w:left="0" w:firstLine="0"/>
        <w:rPr>
          <w:color w:val="auto"/>
        </w:rPr>
      </w:pPr>
      <w:r>
        <w:rPr>
          <w:rFonts w:hint="eastAsia"/>
          <w:color w:val="auto"/>
        </w:rPr>
        <w:t>2、废气</w:t>
      </w:r>
    </w:p>
    <w:p>
      <w:pPr>
        <w:pStyle w:val="38"/>
        <w:adjustRightInd w:val="0"/>
        <w:snapToGrid w:val="0"/>
        <w:spacing w:after="0"/>
        <w:ind w:firstLine="480"/>
        <w:rPr>
          <w:rFonts w:hint="eastAsia"/>
          <w:szCs w:val="24"/>
          <w:lang w:eastAsia="zh-CN"/>
        </w:rPr>
      </w:pPr>
      <w:r>
        <w:rPr>
          <w:szCs w:val="24"/>
        </w:rPr>
        <w:t>项目废气</w:t>
      </w:r>
      <w:r>
        <w:rPr>
          <w:rFonts w:hint="eastAsia"/>
          <w:szCs w:val="24"/>
          <w:lang w:eastAsia="zh-CN"/>
        </w:rPr>
        <w:t>主要为有组织排放的木料切割粉尘、食堂油烟和少量无组织排放打磨粉尘。</w:t>
      </w:r>
    </w:p>
    <w:p>
      <w:pPr>
        <w:pStyle w:val="38"/>
        <w:adjustRightInd w:val="0"/>
        <w:snapToGrid w:val="0"/>
        <w:spacing w:after="0"/>
        <w:ind w:firstLine="480"/>
        <w:rPr>
          <w:rFonts w:hint="default" w:eastAsia="宋体"/>
          <w:color w:val="auto"/>
          <w:lang w:val="en-US" w:eastAsia="zh-CN"/>
        </w:rPr>
      </w:pPr>
      <w:r>
        <w:rPr>
          <w:rFonts w:hint="eastAsia"/>
          <w:b w:val="0"/>
          <w:bCs w:val="0"/>
          <w:color w:val="auto"/>
          <w:spacing w:val="-6"/>
          <w:sz w:val="24"/>
          <w:lang w:eastAsia="zh-CN"/>
        </w:rPr>
        <w:t>粉尘主要污染物为颗粒物，大型台锯的切割粉尘通过管道收集进入一套布袋除尘设施处理，通过</w:t>
      </w:r>
      <w:r>
        <w:rPr>
          <w:rFonts w:hint="eastAsia"/>
          <w:b w:val="0"/>
          <w:bCs w:val="0"/>
          <w:color w:val="auto"/>
          <w:spacing w:val="-6"/>
          <w:sz w:val="24"/>
          <w:lang w:val="en-US" w:eastAsia="zh-CN"/>
        </w:rPr>
        <w:t>15米排气筒排放。小型切割打磨产生的粉尘通过双桶布料除尘设施处理后尾气车间无组织排放。食堂油烟设置一套静电式油烟净化设施处理后排放。项目喷涂工艺目前外委处理，无有机废气产生。</w:t>
      </w:r>
    </w:p>
    <w:p>
      <w:pPr>
        <w:pStyle w:val="4"/>
        <w:adjustRightInd/>
        <w:snapToGrid/>
        <w:ind w:left="0" w:firstLine="0"/>
        <w:rPr>
          <w:color w:val="auto"/>
        </w:rPr>
      </w:pPr>
      <w:r>
        <w:rPr>
          <w:rFonts w:hint="eastAsia"/>
          <w:color w:val="auto"/>
        </w:rPr>
        <w:t>3</w:t>
      </w:r>
      <w:r>
        <w:rPr>
          <w:color w:val="auto"/>
        </w:rPr>
        <w:t>、噪声</w:t>
      </w:r>
    </w:p>
    <w:p>
      <w:pPr>
        <w:pStyle w:val="38"/>
        <w:adjustRightInd w:val="0"/>
        <w:snapToGrid w:val="0"/>
        <w:spacing w:after="0"/>
        <w:ind w:firstLine="480"/>
        <w:rPr>
          <w:szCs w:val="24"/>
        </w:rPr>
      </w:pPr>
      <w:r>
        <w:rPr>
          <w:rFonts w:hint="eastAsia"/>
          <w:color w:val="000000"/>
        </w:rPr>
        <w:t>项目主要噪声源为</w:t>
      </w:r>
      <w:r>
        <w:rPr>
          <w:rFonts w:hint="eastAsia"/>
          <w:color w:val="000000"/>
          <w:lang w:eastAsia="zh-CN"/>
        </w:rPr>
        <w:t>生产设备和废气处理设施风机等，通过</w:t>
      </w:r>
      <w:r>
        <w:rPr>
          <w:rFonts w:hint="eastAsia"/>
          <w:color w:val="000000"/>
        </w:rPr>
        <w:t>选用低噪设备，</w:t>
      </w:r>
      <w:r>
        <w:rPr>
          <w:rFonts w:hint="eastAsia"/>
          <w:color w:val="000000"/>
          <w:lang w:eastAsia="zh-CN"/>
        </w:rPr>
        <w:t>加装减震垫和</w:t>
      </w:r>
      <w:r>
        <w:rPr>
          <w:rFonts w:hint="eastAsia"/>
          <w:color w:val="000000"/>
        </w:rPr>
        <w:t>厂房隔声减少噪声对周围环境的影响。</w:t>
      </w:r>
    </w:p>
    <w:p>
      <w:pPr>
        <w:pStyle w:val="4"/>
        <w:adjustRightInd/>
        <w:snapToGrid/>
        <w:rPr>
          <w:color w:val="auto"/>
        </w:rPr>
      </w:pPr>
      <w:r>
        <w:rPr>
          <w:rFonts w:hint="eastAsia"/>
          <w:color w:val="auto"/>
        </w:rPr>
        <w:t>4</w:t>
      </w:r>
      <w:r>
        <w:rPr>
          <w:color w:val="auto"/>
        </w:rPr>
        <w:t>、固体废物</w:t>
      </w:r>
    </w:p>
    <w:p>
      <w:pPr>
        <w:pStyle w:val="38"/>
        <w:adjustRightInd w:val="0"/>
        <w:snapToGrid w:val="0"/>
        <w:spacing w:after="0"/>
        <w:ind w:left="480" w:leftChars="200" w:firstLine="0" w:firstLineChars="0"/>
        <w:rPr>
          <w:szCs w:val="24"/>
        </w:rPr>
      </w:pPr>
      <w:r>
        <w:rPr>
          <w:rFonts w:hint="eastAsia"/>
          <w:szCs w:val="24"/>
        </w:rPr>
        <w:t>项目固体废物分为员工办公生活垃圾</w:t>
      </w:r>
      <w:r>
        <w:rPr>
          <w:rFonts w:hint="eastAsia"/>
          <w:szCs w:val="24"/>
          <w:lang w:eastAsia="zh-CN"/>
        </w:rPr>
        <w:t>、一般固废</w:t>
      </w:r>
      <w:r>
        <w:rPr>
          <w:rFonts w:hint="eastAsia"/>
          <w:szCs w:val="24"/>
        </w:rPr>
        <w:t>。</w:t>
      </w:r>
    </w:p>
    <w:p>
      <w:pPr>
        <w:pStyle w:val="38"/>
        <w:adjustRightInd w:val="0"/>
        <w:snapToGrid w:val="0"/>
        <w:spacing w:after="0"/>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生活垃圾</w:t>
      </w:r>
      <w:r>
        <w:rPr>
          <w:rFonts w:hint="eastAsia" w:cs="Times New Roman"/>
          <w:sz w:val="24"/>
          <w:szCs w:val="24"/>
          <w:lang w:eastAsia="zh-CN"/>
        </w:rPr>
        <w:t>在厂内设置垃圾桶收集，</w:t>
      </w:r>
      <w:r>
        <w:rPr>
          <w:rFonts w:hint="default" w:ascii="Times New Roman" w:hAnsi="Times New Roman" w:eastAsia="宋体" w:cs="Times New Roman"/>
          <w:sz w:val="24"/>
          <w:szCs w:val="24"/>
        </w:rPr>
        <w:t>由环卫部门</w:t>
      </w:r>
      <w:r>
        <w:rPr>
          <w:rFonts w:hint="eastAsia" w:cs="Times New Roman"/>
          <w:sz w:val="24"/>
          <w:szCs w:val="24"/>
          <w:lang w:eastAsia="zh-CN"/>
        </w:rPr>
        <w:t>定</w:t>
      </w:r>
      <w:r>
        <w:rPr>
          <w:rFonts w:hint="default" w:ascii="Times New Roman" w:hAnsi="Times New Roman" w:eastAsia="宋体" w:cs="Times New Roman"/>
          <w:sz w:val="24"/>
          <w:szCs w:val="24"/>
        </w:rPr>
        <w:t>时清运。</w:t>
      </w:r>
    </w:p>
    <w:p>
      <w:pPr>
        <w:pStyle w:val="38"/>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eastAsia="宋体"/>
          <w:color w:val="auto"/>
          <w:lang w:val="en-US" w:eastAsia="zh-CN"/>
        </w:rPr>
      </w:pPr>
      <w:r>
        <w:rPr>
          <w:rFonts w:hint="default" w:ascii="Times New Roman" w:hAnsi="Times New Roman" w:eastAsia="宋体" w:cs="Times New Roman"/>
          <w:sz w:val="24"/>
          <w:szCs w:val="24"/>
        </w:rPr>
        <w:t>一般工业固体废物主要为</w:t>
      </w:r>
      <w:r>
        <w:rPr>
          <w:rFonts w:hint="eastAsia" w:cs="Times New Roman"/>
          <w:sz w:val="24"/>
          <w:szCs w:val="24"/>
          <w:lang w:eastAsia="zh-CN"/>
        </w:rPr>
        <w:t>木材废边角料、除尘设施收集粉尘、废五金件和废包装材料，外售给湖北浦润新能源发展有限公司</w:t>
      </w:r>
      <w:r>
        <w:rPr>
          <w:rFonts w:hint="default" w:ascii="Times New Roman" w:hAnsi="Times New Roman" w:eastAsia="宋体" w:cs="Times New Roman"/>
          <w:sz w:val="24"/>
          <w:szCs w:val="24"/>
        </w:rPr>
        <w:t>。</w:t>
      </w:r>
      <w:r>
        <w:rPr>
          <w:rFonts w:hint="eastAsia" w:cs="Times New Roman"/>
          <w:sz w:val="24"/>
          <w:szCs w:val="24"/>
          <w:lang w:eastAsia="zh-CN"/>
        </w:rPr>
        <w:t>厂区内设置一般固废暂存区域存放。</w:t>
      </w:r>
    </w:p>
    <w:p>
      <w:pPr>
        <w:pStyle w:val="4"/>
        <w:adjustRightInd/>
        <w:snapToGrid/>
        <w:spacing w:before="0" w:beforeLines="0"/>
        <w:rPr>
          <w:color w:val="auto"/>
        </w:rPr>
      </w:pPr>
      <w:r>
        <w:rPr>
          <w:rFonts w:hint="eastAsia"/>
          <w:color w:val="auto"/>
          <w:lang w:val="en-US" w:eastAsia="zh-CN"/>
        </w:rPr>
        <w:t>5</w:t>
      </w:r>
      <w:r>
        <w:rPr>
          <w:color w:val="auto"/>
        </w:rPr>
        <w:t>、环境制度管理</w:t>
      </w:r>
    </w:p>
    <w:p>
      <w:pPr>
        <w:keepNext w:val="0"/>
        <w:keepLines w:val="0"/>
        <w:widowControl w:val="0"/>
        <w:numPr>
          <w:ilvl w:val="0"/>
          <w:numId w:val="3"/>
        </w:numPr>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kern w:val="0"/>
          <w:sz w:val="24"/>
          <w:szCs w:val="24"/>
        </w:rPr>
      </w:pPr>
      <w:r>
        <w:rPr>
          <w:rFonts w:hint="eastAsia" w:ascii="宋体" w:hAnsi="宋体" w:eastAsia="宋体" w:cs="宋体"/>
          <w:kern w:val="2"/>
          <w:sz w:val="24"/>
          <w:szCs w:val="24"/>
          <w:lang w:val="en-US" w:eastAsia="zh-CN" w:bidi="ar"/>
        </w:rPr>
        <w:t>项目安排有环保兼职人员，环保责任制明确，实施环境保护与各类设备的统一管理。定期对员工进行环境教育和环保技术培训，</w:t>
      </w:r>
      <w:r>
        <w:rPr>
          <w:rFonts w:hint="eastAsia" w:ascii="宋体" w:hAnsi="宋体" w:eastAsia="宋体" w:cs="宋体"/>
          <w:color w:val="000000"/>
          <w:kern w:val="0"/>
          <w:sz w:val="24"/>
          <w:szCs w:val="24"/>
          <w:lang w:val="en-US" w:eastAsia="zh-CN" w:bidi="ar"/>
        </w:rPr>
        <w:t>满足环保管理的基本要求。</w:t>
      </w:r>
      <w:r>
        <w:rPr>
          <w:rFonts w:hint="eastAsia" w:ascii="宋体" w:hAnsi="宋体" w:eastAsia="宋体" w:cs="宋体"/>
          <w:kern w:val="2"/>
          <w:sz w:val="24"/>
          <w:szCs w:val="24"/>
          <w:lang w:val="en-US" w:eastAsia="zh-CN" w:bidi="ar"/>
        </w:rPr>
        <w:t>项目建立了较为完善的环保档案管理制度，制定了详细的环境保护管理规章制度。</w:t>
      </w:r>
    </w:p>
    <w:p>
      <w:pPr>
        <w:keepNext w:val="0"/>
        <w:keepLines w:val="0"/>
        <w:widowControl w:val="0"/>
        <w:suppressLineNumbers w:val="0"/>
        <w:spacing w:before="0" w:beforeAutospacing="0" w:after="0" w:afterAutospacing="0"/>
        <w:ind w:left="0" w:right="0"/>
        <w:jc w:val="both"/>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）企业制定了相关环境检测方案，定期对厂内污染物进行监测，确保污染物长期稳定达标排放。</w:t>
      </w:r>
    </w:p>
    <w:p>
      <w:pPr>
        <w:pStyle w:val="3"/>
        <w:spacing w:before="0" w:beforeLines="0"/>
        <w:rPr>
          <w:bCs/>
          <w:color w:val="auto"/>
          <w:sz w:val="28"/>
          <w:szCs w:val="28"/>
        </w:rPr>
      </w:pPr>
      <w:r>
        <w:rPr>
          <w:rFonts w:hint="eastAsia"/>
          <w:bCs/>
          <w:color w:val="auto"/>
          <w:sz w:val="28"/>
          <w:szCs w:val="28"/>
        </w:rPr>
        <w:t>四</w:t>
      </w:r>
      <w:r>
        <w:rPr>
          <w:bCs/>
          <w:color w:val="auto"/>
          <w:sz w:val="28"/>
          <w:szCs w:val="28"/>
        </w:rPr>
        <w:t>、环境保护设施调试效果</w:t>
      </w:r>
    </w:p>
    <w:p>
      <w:pPr>
        <w:spacing w:after="120"/>
        <w:rPr>
          <w:b/>
          <w:bCs/>
          <w:color w:val="auto"/>
        </w:rPr>
      </w:pPr>
      <w:r>
        <w:rPr>
          <w:b/>
          <w:bCs/>
          <w:color w:val="auto"/>
        </w:rPr>
        <w:t>无组织废气</w:t>
      </w:r>
    </w:p>
    <w:p>
      <w:pPr>
        <w:ind w:firstLine="480" w:firstLineChars="200"/>
        <w:outlineLvl w:val="9"/>
        <w:rPr>
          <w:rFonts w:hint="eastAsia"/>
          <w:color w:val="auto"/>
          <w:sz w:val="24"/>
          <w:szCs w:val="24"/>
          <w:lang w:eastAsia="zh-CN"/>
        </w:rPr>
      </w:pPr>
      <w:r>
        <w:rPr>
          <w:rFonts w:hint="default"/>
          <w:szCs w:val="21"/>
          <w:lang w:val="en-US" w:eastAsia="zh-CN"/>
        </w:rPr>
        <w:t>本次监测，无组织废气中</w:t>
      </w:r>
      <w:r>
        <w:rPr>
          <w:rFonts w:hint="eastAsia"/>
          <w:szCs w:val="21"/>
          <w:lang w:val="en-US" w:eastAsia="zh-CN"/>
        </w:rPr>
        <w:t xml:space="preserve">颗粒物最大值0.440 </w:t>
      </w:r>
      <w:r>
        <w:rPr>
          <w:rFonts w:hint="default"/>
          <w:szCs w:val="21"/>
        </w:rPr>
        <w:t>mg/m</w:t>
      </w:r>
      <w:r>
        <w:rPr>
          <w:rFonts w:hint="default"/>
          <w:szCs w:val="21"/>
          <w:vertAlign w:val="superscript"/>
        </w:rPr>
        <w:t>3</w:t>
      </w:r>
      <w:r>
        <w:rPr>
          <w:rFonts w:hint="eastAsia"/>
          <w:szCs w:val="21"/>
          <w:lang w:eastAsia="zh-CN"/>
        </w:rPr>
        <w:t>，</w:t>
      </w:r>
      <w:r>
        <w:rPr>
          <w:rFonts w:hint="default"/>
          <w:szCs w:val="21"/>
          <w:lang w:val="en-US" w:eastAsia="zh-CN"/>
        </w:rPr>
        <w:t>符合《大气污染物综合排放标准》（GB 16297-1996）</w:t>
      </w:r>
      <w:r>
        <w:rPr>
          <w:rFonts w:hint="eastAsia"/>
          <w:szCs w:val="21"/>
          <w:lang w:val="en-US" w:eastAsia="zh-CN"/>
        </w:rPr>
        <w:t>无组织监控浓度</w:t>
      </w:r>
      <w:r>
        <w:rPr>
          <w:rFonts w:hint="default"/>
          <w:szCs w:val="21"/>
          <w:lang w:val="en-US" w:eastAsia="zh-CN"/>
        </w:rPr>
        <w:t>标准</w:t>
      </w:r>
      <w:r>
        <w:rPr>
          <w:rFonts w:hint="eastAsia"/>
          <w:szCs w:val="21"/>
          <w:lang w:val="en-US" w:eastAsia="zh-CN"/>
        </w:rPr>
        <w:t>限值</w:t>
      </w:r>
      <w:r>
        <w:rPr>
          <w:rFonts w:hint="eastAsia"/>
          <w:szCs w:val="21"/>
          <w:lang w:eastAsia="zh-CN"/>
        </w:rPr>
        <w:t>。</w:t>
      </w:r>
    </w:p>
    <w:p>
      <w:pPr>
        <w:outlineLvl w:val="1"/>
        <w:rPr>
          <w:b/>
          <w:bCs/>
          <w:color w:val="auto"/>
        </w:rPr>
      </w:pPr>
      <w:r>
        <w:rPr>
          <w:b/>
          <w:bCs/>
          <w:color w:val="auto"/>
        </w:rPr>
        <w:t>噪声</w:t>
      </w:r>
    </w:p>
    <w:p>
      <w:pPr>
        <w:adjustRightInd w:val="0"/>
        <w:snapToGrid w:val="0"/>
        <w:ind w:firstLine="480" w:firstLineChars="200"/>
        <w:rPr>
          <w:rFonts w:hint="eastAsia" w:eastAsia="宋体"/>
          <w:color w:val="auto"/>
          <w:lang w:eastAsia="zh-CN" w:bidi="ar"/>
        </w:rPr>
      </w:pPr>
      <w:r>
        <w:rPr>
          <w:rFonts w:hint="default" w:ascii="Times New Roman" w:hAnsi="Times New Roman" w:eastAsia="宋体" w:cs="Times New Roman"/>
          <w:bCs/>
          <w:kern w:val="2"/>
          <w:sz w:val="24"/>
          <w:szCs w:val="24"/>
          <w:lang w:val="en-US" w:eastAsia="zh-CN" w:bidi="ar-SA"/>
        </w:rPr>
        <w:t>本次监测，该项目</w:t>
      </w:r>
      <w:r>
        <w:rPr>
          <w:rFonts w:hint="eastAsia" w:ascii="Times New Roman" w:hAnsi="Times New Roman" w:eastAsia="宋体" w:cs="Times New Roman"/>
          <w:bCs/>
          <w:kern w:val="2"/>
          <w:sz w:val="24"/>
          <w:szCs w:val="24"/>
          <w:lang w:val="en-US" w:eastAsia="zh-CN" w:bidi="ar-SA"/>
        </w:rPr>
        <w:t>厂界东外1m处1#</w:t>
      </w:r>
      <w:r>
        <w:rPr>
          <w:rFonts w:hint="default" w:ascii="Times New Roman" w:hAnsi="Times New Roman" w:eastAsia="宋体" w:cs="Times New Roman"/>
          <w:bCs/>
          <w:kern w:val="2"/>
          <w:sz w:val="24"/>
          <w:szCs w:val="24"/>
          <w:lang w:val="en-US" w:eastAsia="zh-CN" w:bidi="ar-SA"/>
        </w:rPr>
        <w:t>、</w:t>
      </w:r>
      <w:r>
        <w:rPr>
          <w:rFonts w:hint="eastAsia" w:ascii="Times New Roman" w:hAnsi="Times New Roman" w:eastAsia="宋体" w:cs="Times New Roman"/>
          <w:bCs/>
          <w:kern w:val="2"/>
          <w:sz w:val="24"/>
          <w:szCs w:val="24"/>
          <w:lang w:val="en-US" w:eastAsia="zh-CN" w:bidi="ar-SA"/>
        </w:rPr>
        <w:t>厂界南外1m处2#</w:t>
      </w:r>
      <w:r>
        <w:rPr>
          <w:rFonts w:hint="default" w:ascii="Times New Roman" w:hAnsi="Times New Roman" w:eastAsia="宋体" w:cs="Times New Roman"/>
          <w:bCs/>
          <w:kern w:val="2"/>
          <w:sz w:val="24"/>
          <w:szCs w:val="24"/>
          <w:lang w:val="en-US" w:eastAsia="zh-CN" w:bidi="ar-SA"/>
        </w:rPr>
        <w:t>、</w:t>
      </w:r>
      <w:r>
        <w:rPr>
          <w:rFonts w:hint="eastAsia" w:ascii="Times New Roman" w:hAnsi="Times New Roman" w:eastAsia="宋体" w:cs="Times New Roman"/>
          <w:bCs/>
          <w:kern w:val="2"/>
          <w:sz w:val="24"/>
          <w:szCs w:val="24"/>
          <w:lang w:val="en-US" w:eastAsia="zh-CN" w:bidi="ar-SA"/>
        </w:rPr>
        <w:t>厂界西外1m处3#</w:t>
      </w:r>
      <w:r>
        <w:rPr>
          <w:rFonts w:hint="default" w:ascii="Times New Roman" w:hAnsi="Times New Roman" w:eastAsia="宋体" w:cs="Times New Roman"/>
          <w:bCs/>
          <w:kern w:val="2"/>
          <w:sz w:val="24"/>
          <w:szCs w:val="24"/>
          <w:lang w:val="en-US" w:eastAsia="zh-CN" w:bidi="ar-SA"/>
        </w:rPr>
        <w:t>、</w:t>
      </w:r>
      <w:r>
        <w:rPr>
          <w:rFonts w:hint="eastAsia" w:ascii="Times New Roman" w:hAnsi="Times New Roman" w:eastAsia="宋体" w:cs="Times New Roman"/>
          <w:bCs/>
          <w:kern w:val="2"/>
          <w:sz w:val="24"/>
          <w:szCs w:val="24"/>
          <w:lang w:val="en-US" w:eastAsia="zh-CN" w:bidi="ar-SA"/>
        </w:rPr>
        <w:t>厂界北外1m处4#</w:t>
      </w:r>
      <w:r>
        <w:rPr>
          <w:rFonts w:hint="default" w:ascii="Times New Roman" w:hAnsi="Times New Roman" w:eastAsia="宋体" w:cs="Times New Roman"/>
          <w:bCs/>
          <w:kern w:val="2"/>
          <w:sz w:val="24"/>
          <w:szCs w:val="24"/>
          <w:lang w:val="en-US" w:eastAsia="zh-CN" w:bidi="ar-SA"/>
        </w:rPr>
        <w:t>噪声昼间</w:t>
      </w:r>
      <w:r>
        <w:rPr>
          <w:rFonts w:hint="eastAsia" w:cs="Times New Roman"/>
          <w:bCs/>
          <w:kern w:val="2"/>
          <w:sz w:val="24"/>
          <w:szCs w:val="24"/>
          <w:lang w:val="en-US" w:eastAsia="zh-CN" w:bidi="ar-SA"/>
        </w:rPr>
        <w:t>最大值为58.2</w:t>
      </w:r>
      <w:r>
        <w:rPr>
          <w:rFonts w:hint="default"/>
          <w:szCs w:val="21"/>
          <w:lang w:val="en-US" w:eastAsia="zh-CN"/>
        </w:rPr>
        <w:t>dB(A)</w:t>
      </w:r>
      <w:r>
        <w:rPr>
          <w:rFonts w:hint="default" w:ascii="Times New Roman" w:hAnsi="Times New Roman" w:eastAsia="宋体" w:cs="Times New Roman"/>
          <w:bCs/>
          <w:kern w:val="2"/>
          <w:sz w:val="24"/>
          <w:szCs w:val="24"/>
          <w:lang w:val="en-US" w:eastAsia="zh-CN" w:bidi="ar-SA"/>
        </w:rPr>
        <w:t>、夜间</w:t>
      </w:r>
      <w:r>
        <w:rPr>
          <w:rFonts w:hint="eastAsia" w:cs="Times New Roman"/>
          <w:bCs/>
          <w:kern w:val="2"/>
          <w:sz w:val="24"/>
          <w:szCs w:val="24"/>
          <w:lang w:val="en-US" w:eastAsia="zh-CN" w:bidi="ar-SA"/>
        </w:rPr>
        <w:t>最大值为47.6</w:t>
      </w:r>
      <w:r>
        <w:rPr>
          <w:rFonts w:hint="default"/>
          <w:szCs w:val="21"/>
          <w:lang w:val="en-US" w:eastAsia="zh-CN"/>
        </w:rPr>
        <w:t>dB(A)</w:t>
      </w:r>
      <w:r>
        <w:rPr>
          <w:rFonts w:hint="eastAsia"/>
          <w:szCs w:val="21"/>
          <w:lang w:val="en-US" w:eastAsia="zh-CN"/>
        </w:rPr>
        <w:t>，监测</w:t>
      </w:r>
      <w:r>
        <w:rPr>
          <w:rFonts w:hint="default" w:ascii="Times New Roman" w:hAnsi="Times New Roman" w:eastAsia="宋体" w:cs="Times New Roman"/>
          <w:bCs/>
          <w:kern w:val="2"/>
          <w:sz w:val="24"/>
          <w:szCs w:val="24"/>
          <w:lang w:val="en-US" w:eastAsia="zh-CN" w:bidi="ar-SA"/>
        </w:rPr>
        <w:t>结果均符合《工业企业厂界环境噪声排放标准》（GB 12348-2008)2类标准限值要求</w:t>
      </w:r>
      <w:r>
        <w:rPr>
          <w:rFonts w:hint="eastAsia" w:ascii="Times New Roman" w:hAnsi="Times New Roman" w:eastAsia="宋体" w:cs="Times New Roman"/>
          <w:bCs/>
          <w:kern w:val="2"/>
          <w:sz w:val="24"/>
          <w:szCs w:val="24"/>
          <w:lang w:val="en-US" w:eastAsia="zh-CN" w:bidi="ar-SA"/>
        </w:rPr>
        <w:t>；厂界西南侧居民点5#、厂界南侧居民点6#</w:t>
      </w:r>
      <w:r>
        <w:rPr>
          <w:rFonts w:hint="default" w:ascii="Times New Roman" w:hAnsi="Times New Roman" w:eastAsia="宋体" w:cs="Times New Roman"/>
          <w:bCs/>
          <w:kern w:val="2"/>
          <w:sz w:val="24"/>
          <w:szCs w:val="24"/>
          <w:lang w:val="en-US" w:eastAsia="zh-CN" w:bidi="ar-SA"/>
        </w:rPr>
        <w:t>噪声昼间</w:t>
      </w:r>
      <w:r>
        <w:rPr>
          <w:rFonts w:hint="eastAsia" w:cs="Times New Roman"/>
          <w:bCs/>
          <w:kern w:val="2"/>
          <w:sz w:val="24"/>
          <w:szCs w:val="24"/>
          <w:lang w:val="en-US" w:eastAsia="zh-CN" w:bidi="ar-SA"/>
        </w:rPr>
        <w:t>最大值为53.9</w:t>
      </w:r>
      <w:r>
        <w:rPr>
          <w:rFonts w:hint="default"/>
          <w:szCs w:val="21"/>
          <w:lang w:val="en-US" w:eastAsia="zh-CN"/>
        </w:rPr>
        <w:t>dB(A)</w:t>
      </w:r>
      <w:r>
        <w:rPr>
          <w:rFonts w:hint="default" w:ascii="Times New Roman" w:hAnsi="Times New Roman" w:eastAsia="宋体" w:cs="Times New Roman"/>
          <w:bCs/>
          <w:kern w:val="2"/>
          <w:sz w:val="24"/>
          <w:szCs w:val="24"/>
          <w:lang w:val="en-US" w:eastAsia="zh-CN" w:bidi="ar-SA"/>
        </w:rPr>
        <w:t>、夜间</w:t>
      </w:r>
      <w:r>
        <w:rPr>
          <w:rFonts w:hint="eastAsia" w:cs="Times New Roman"/>
          <w:bCs/>
          <w:kern w:val="2"/>
          <w:sz w:val="24"/>
          <w:szCs w:val="24"/>
          <w:lang w:val="en-US" w:eastAsia="zh-CN" w:bidi="ar-SA"/>
        </w:rPr>
        <w:t>最大值为43.8</w:t>
      </w:r>
      <w:r>
        <w:rPr>
          <w:rFonts w:hint="default"/>
          <w:szCs w:val="21"/>
          <w:lang w:val="en-US" w:eastAsia="zh-CN"/>
        </w:rPr>
        <w:t>dB(A)</w:t>
      </w:r>
      <w:r>
        <w:rPr>
          <w:rFonts w:hint="eastAsia"/>
          <w:szCs w:val="21"/>
          <w:lang w:val="en-US" w:eastAsia="zh-CN"/>
        </w:rPr>
        <w:t>，</w:t>
      </w:r>
      <w:r>
        <w:rPr>
          <w:rFonts w:hint="default" w:ascii="Times New Roman" w:hAnsi="Times New Roman" w:eastAsia="宋体" w:cs="Times New Roman"/>
          <w:bCs/>
          <w:kern w:val="2"/>
          <w:sz w:val="24"/>
          <w:szCs w:val="24"/>
          <w:lang w:val="en-US" w:eastAsia="zh-CN" w:bidi="ar-SA"/>
        </w:rPr>
        <w:t>监测结果均符合《</w:t>
      </w:r>
      <w:r>
        <w:rPr>
          <w:rFonts w:hint="eastAsia" w:ascii="Times New Roman" w:hAnsi="Times New Roman" w:eastAsia="宋体" w:cs="Times New Roman"/>
          <w:bCs/>
          <w:kern w:val="2"/>
          <w:sz w:val="24"/>
          <w:szCs w:val="24"/>
          <w:lang w:val="en-US" w:eastAsia="zh-CN" w:bidi="ar-SA"/>
        </w:rPr>
        <w:t>声环境质量标准</w:t>
      </w:r>
      <w:r>
        <w:rPr>
          <w:rFonts w:hint="default" w:ascii="Times New Roman" w:hAnsi="Times New Roman" w:eastAsia="宋体" w:cs="Times New Roman"/>
          <w:bCs/>
          <w:kern w:val="2"/>
          <w:sz w:val="24"/>
          <w:szCs w:val="24"/>
          <w:lang w:val="en-US" w:eastAsia="zh-CN" w:bidi="ar-SA"/>
        </w:rPr>
        <w:t xml:space="preserve">》（GB </w:t>
      </w:r>
      <w:r>
        <w:rPr>
          <w:rFonts w:hint="eastAsia" w:ascii="Times New Roman" w:hAnsi="Times New Roman" w:eastAsia="宋体" w:cs="Times New Roman"/>
          <w:bCs/>
          <w:kern w:val="2"/>
          <w:sz w:val="24"/>
          <w:szCs w:val="24"/>
          <w:lang w:val="en-US" w:eastAsia="zh-CN" w:bidi="ar-SA"/>
        </w:rPr>
        <w:t>3096</w:t>
      </w:r>
      <w:r>
        <w:rPr>
          <w:rFonts w:hint="default" w:ascii="Times New Roman" w:hAnsi="Times New Roman" w:eastAsia="宋体" w:cs="Times New Roman"/>
          <w:bCs/>
          <w:kern w:val="2"/>
          <w:sz w:val="24"/>
          <w:szCs w:val="24"/>
          <w:lang w:val="en-US" w:eastAsia="zh-CN" w:bidi="ar-SA"/>
        </w:rPr>
        <w:t>-2008)</w:t>
      </w:r>
      <w:r>
        <w:rPr>
          <w:rFonts w:hint="eastAsia" w:ascii="Times New Roman" w:hAnsi="Times New Roman" w:eastAsia="宋体" w:cs="Times New Roman"/>
          <w:bCs/>
          <w:kern w:val="2"/>
          <w:sz w:val="24"/>
          <w:szCs w:val="24"/>
          <w:lang w:val="en-US" w:eastAsia="zh-CN" w:bidi="ar-SA"/>
        </w:rPr>
        <w:t>1</w:t>
      </w:r>
      <w:r>
        <w:rPr>
          <w:rFonts w:hint="default" w:ascii="Times New Roman" w:hAnsi="Times New Roman" w:eastAsia="宋体" w:cs="Times New Roman"/>
          <w:bCs/>
          <w:kern w:val="2"/>
          <w:sz w:val="24"/>
          <w:szCs w:val="24"/>
          <w:lang w:val="en-US" w:eastAsia="zh-CN" w:bidi="ar-SA"/>
        </w:rPr>
        <w:t>类标准限值要求</w:t>
      </w:r>
      <w:r>
        <w:rPr>
          <w:rFonts w:hint="eastAsia" w:ascii="Times New Roman" w:hAnsi="Times New Roman" w:eastAsia="宋体" w:cs="Times New Roman"/>
          <w:bCs/>
          <w:kern w:val="2"/>
          <w:sz w:val="24"/>
          <w:szCs w:val="24"/>
          <w:lang w:val="en-US" w:eastAsia="zh-CN" w:bidi="ar-SA"/>
        </w:rPr>
        <w:t>。</w:t>
      </w:r>
    </w:p>
    <w:p>
      <w:pPr>
        <w:outlineLvl w:val="0"/>
        <w:rPr>
          <w:b/>
          <w:bCs/>
          <w:color w:val="auto"/>
        </w:rPr>
      </w:pPr>
      <w:r>
        <w:rPr>
          <w:rFonts w:hint="eastAsia"/>
          <w:b/>
          <w:bCs/>
          <w:color w:val="auto"/>
        </w:rPr>
        <w:t>五、</w:t>
      </w:r>
      <w:r>
        <w:rPr>
          <w:rFonts w:hint="eastAsia"/>
          <w:b/>
          <w:bCs/>
          <w:color w:val="auto"/>
          <w:lang w:eastAsia="zh-CN"/>
        </w:rPr>
        <w:t>进一步完善要求</w:t>
      </w:r>
    </w:p>
    <w:p>
      <w:pPr>
        <w:pStyle w:val="7"/>
        <w:ind w:firstLine="199" w:firstLineChars="83"/>
        <w:rPr>
          <w:rFonts w:hint="eastAsia"/>
          <w:color w:val="auto"/>
          <w:lang w:val="en-US" w:eastAsia="zh-CN"/>
        </w:rPr>
      </w:pPr>
      <w:r>
        <w:rPr>
          <w:rFonts w:hint="eastAsia"/>
          <w:color w:val="auto"/>
          <w:lang w:val="en-US" w:eastAsia="zh-CN"/>
        </w:rPr>
        <w:t>1、明确验收范围，核实验收工况。</w:t>
      </w:r>
    </w:p>
    <w:p>
      <w:pPr>
        <w:pStyle w:val="7"/>
        <w:ind w:firstLine="199" w:firstLineChars="83"/>
        <w:rPr>
          <w:rFonts w:hint="eastAsia"/>
          <w:color w:val="auto"/>
          <w:lang w:val="en-US" w:eastAsia="zh-CN"/>
        </w:rPr>
      </w:pPr>
      <w:r>
        <w:rPr>
          <w:rFonts w:hint="eastAsia"/>
          <w:color w:val="auto"/>
          <w:lang w:val="en-US" w:eastAsia="zh-CN"/>
        </w:rPr>
        <w:t>2、梳理项目主要变更内容，说明原因，说明其合理性。</w:t>
      </w:r>
    </w:p>
    <w:p>
      <w:pPr>
        <w:pStyle w:val="7"/>
        <w:ind w:firstLine="199" w:firstLineChars="83"/>
        <w:rPr>
          <w:rFonts w:hint="eastAsia"/>
          <w:color w:val="auto"/>
          <w:lang w:val="en-US" w:eastAsia="zh-CN"/>
        </w:rPr>
      </w:pPr>
      <w:r>
        <w:rPr>
          <w:rFonts w:hint="eastAsia"/>
          <w:color w:val="auto"/>
          <w:lang w:val="en-US" w:eastAsia="zh-CN"/>
        </w:rPr>
        <w:t>3、完善布袋除尘设施排气筒验收监测数据。</w:t>
      </w:r>
    </w:p>
    <w:p>
      <w:pPr>
        <w:pStyle w:val="7"/>
        <w:ind w:firstLine="199" w:firstLineChars="83"/>
        <w:rPr>
          <w:rFonts w:hint="default"/>
          <w:color w:val="auto"/>
          <w:lang w:val="en-US" w:eastAsia="zh-CN"/>
        </w:rPr>
      </w:pPr>
      <w:r>
        <w:rPr>
          <w:rFonts w:hint="eastAsia"/>
          <w:color w:val="auto"/>
          <w:lang w:val="en-US" w:eastAsia="zh-CN"/>
        </w:rPr>
        <w:t>4、完善消防管理措施。</w:t>
      </w:r>
    </w:p>
    <w:p>
      <w:pPr>
        <w:pStyle w:val="7"/>
        <w:ind w:firstLine="199" w:firstLineChars="83"/>
        <w:rPr>
          <w:rFonts w:hint="default"/>
          <w:color w:val="auto"/>
          <w:lang w:val="en-US" w:eastAsia="zh-CN"/>
        </w:rPr>
      </w:pPr>
      <w:r>
        <w:rPr>
          <w:rFonts w:hint="eastAsia"/>
          <w:color w:val="auto"/>
          <w:lang w:val="en-US" w:eastAsia="zh-CN"/>
        </w:rPr>
        <w:t>5、按相关标准完善现场环保标识标牌，完善附图附件。</w:t>
      </w:r>
    </w:p>
    <w:p>
      <w:pPr>
        <w:pStyle w:val="7"/>
        <w:ind w:firstLine="199" w:firstLineChars="83"/>
        <w:rPr>
          <w:rFonts w:hint="default"/>
          <w:color w:val="auto"/>
          <w:lang w:val="en-US" w:eastAsia="zh-CN"/>
        </w:rPr>
      </w:pPr>
      <w:r>
        <w:rPr>
          <w:rFonts w:hint="eastAsia"/>
          <w:color w:val="auto"/>
          <w:lang w:val="en-US" w:eastAsia="zh-CN"/>
        </w:rPr>
        <w:t>6、加强环境管理措施，减少无组织粉尘排放。</w:t>
      </w:r>
    </w:p>
    <w:p>
      <w:pPr>
        <w:outlineLvl w:val="0"/>
        <w:rPr>
          <w:b/>
          <w:bCs/>
          <w:color w:val="auto"/>
        </w:rPr>
      </w:pPr>
      <w:r>
        <w:rPr>
          <w:rFonts w:hint="eastAsia"/>
          <w:b/>
          <w:bCs/>
          <w:color w:val="auto"/>
        </w:rPr>
        <w:t>六</w:t>
      </w:r>
      <w:r>
        <w:rPr>
          <w:b/>
          <w:bCs/>
          <w:color w:val="auto"/>
        </w:rPr>
        <w:t>、验收结论</w:t>
      </w:r>
    </w:p>
    <w:p>
      <w:pPr>
        <w:pStyle w:val="7"/>
        <w:ind w:firstLine="480"/>
        <w:rPr>
          <w:color w:val="auto"/>
        </w:rPr>
      </w:pPr>
      <w:r>
        <w:rPr>
          <w:rFonts w:hint="eastAsia"/>
          <w:color w:val="auto"/>
          <w:lang w:eastAsia="zh-CN"/>
        </w:rPr>
        <w:t>荆州市艾佳华农林科技有限公司荆州市艾佳华家具产业园项目</w:t>
      </w:r>
      <w:r>
        <w:rPr>
          <w:color w:val="auto"/>
        </w:rPr>
        <w:t>环境保护手续齐全，</w:t>
      </w:r>
      <w:r>
        <w:rPr>
          <w:rFonts w:hint="eastAsia"/>
          <w:color w:val="auto"/>
          <w:lang w:val="en-US" w:eastAsia="zh-CN"/>
        </w:rPr>
        <w:t>基本</w:t>
      </w:r>
      <w:r>
        <w:rPr>
          <w:color w:val="auto"/>
        </w:rPr>
        <w:t>落实了环评及批复中规定的各项环保措施，竣工验收监测</w:t>
      </w:r>
      <w:r>
        <w:rPr>
          <w:rFonts w:hint="eastAsia"/>
          <w:color w:val="auto"/>
          <w:lang w:eastAsia="zh-CN"/>
        </w:rPr>
        <w:t>条件</w:t>
      </w:r>
      <w:r>
        <w:rPr>
          <w:color w:val="auto"/>
        </w:rPr>
        <w:t>符合《建设项目竣工环境保护验收管理办法》的相关规定，</w:t>
      </w:r>
      <w:r>
        <w:rPr>
          <w:rFonts w:hint="eastAsia"/>
          <w:color w:val="auto"/>
          <w:lang w:val="en-US" w:eastAsia="zh-CN"/>
        </w:rPr>
        <w:t>主要</w:t>
      </w:r>
      <w:r>
        <w:rPr>
          <w:color w:val="auto"/>
        </w:rPr>
        <w:t>污染物实现了达标排放。</w:t>
      </w:r>
      <w:r>
        <w:rPr>
          <w:rFonts w:hint="eastAsia"/>
          <w:color w:val="auto"/>
          <w:lang w:eastAsia="zh-CN"/>
        </w:rPr>
        <w:t>按上述要求</w:t>
      </w:r>
      <w:r>
        <w:rPr>
          <w:rFonts w:hint="eastAsia"/>
          <w:color w:val="auto"/>
        </w:rPr>
        <w:t>进一步完善</w:t>
      </w:r>
      <w:r>
        <w:rPr>
          <w:rFonts w:hint="eastAsia"/>
          <w:color w:val="auto"/>
          <w:lang w:eastAsia="zh-CN"/>
        </w:rPr>
        <w:t>后</w:t>
      </w:r>
      <w:r>
        <w:rPr>
          <w:rFonts w:hint="eastAsia"/>
          <w:color w:val="auto"/>
        </w:rPr>
        <w:t>，可以按程序予以公示。</w:t>
      </w:r>
    </w:p>
    <w:p>
      <w:pPr>
        <w:pStyle w:val="3"/>
        <w:rPr>
          <w:color w:val="auto"/>
        </w:rPr>
      </w:pPr>
      <w:r>
        <w:rPr>
          <w:rFonts w:hint="eastAsia"/>
          <w:color w:val="auto"/>
        </w:rPr>
        <w:t>七</w:t>
      </w:r>
      <w:r>
        <w:rPr>
          <w:color w:val="auto"/>
        </w:rPr>
        <w:t>、验收人员信息</w:t>
      </w:r>
    </w:p>
    <w:p>
      <w:pPr>
        <w:pStyle w:val="7"/>
        <w:ind w:firstLine="480"/>
        <w:rPr>
          <w:color w:val="auto"/>
        </w:rPr>
      </w:pPr>
      <w:r>
        <w:rPr>
          <w:color w:val="auto"/>
        </w:rPr>
        <w:t>验收工作组成员名单及信息附后。</w:t>
      </w:r>
    </w:p>
    <w:p>
      <w:pPr>
        <w:pStyle w:val="7"/>
        <w:ind w:firstLine="480"/>
        <w:rPr>
          <w:color w:val="auto"/>
        </w:rPr>
      </w:pPr>
    </w:p>
    <w:p>
      <w:pPr>
        <w:pStyle w:val="7"/>
        <w:ind w:firstLine="5662" w:firstLineChars="2350"/>
        <w:jc w:val="right"/>
        <w:rPr>
          <w:b/>
          <w:bCs/>
          <w:color w:val="auto"/>
        </w:rPr>
      </w:pPr>
      <w:r>
        <w:rPr>
          <w:b/>
          <w:bCs/>
          <w:color w:val="auto"/>
        </w:rPr>
        <w:t>验收工作组</w:t>
      </w:r>
    </w:p>
    <w:p>
      <w:pPr>
        <w:pStyle w:val="7"/>
        <w:ind w:firstLine="5662" w:firstLineChars="2350"/>
        <w:jc w:val="right"/>
        <w:rPr>
          <w:b/>
          <w:color w:val="auto"/>
        </w:rPr>
        <w:sectPr>
          <w:pgSz w:w="11906" w:h="16838"/>
          <w:pgMar w:top="1440" w:right="1800" w:bottom="1440" w:left="1800" w:header="851" w:footer="992" w:gutter="0"/>
          <w:cols w:space="720" w:num="1"/>
          <w:docGrid w:type="lines" w:linePitch="312" w:charSpace="0"/>
        </w:sectPr>
      </w:pPr>
      <w:r>
        <w:rPr>
          <w:b/>
          <w:color w:val="auto"/>
        </w:rPr>
        <w:t>201</w:t>
      </w:r>
      <w:r>
        <w:rPr>
          <w:rFonts w:hint="eastAsia"/>
          <w:b/>
          <w:color w:val="auto"/>
        </w:rPr>
        <w:t>9</w:t>
      </w:r>
      <w:r>
        <w:rPr>
          <w:b/>
          <w:color w:val="auto"/>
        </w:rPr>
        <w:t>年</w:t>
      </w:r>
      <w:r>
        <w:rPr>
          <w:rFonts w:hint="eastAsia"/>
          <w:b/>
          <w:color w:val="auto"/>
        </w:rPr>
        <w:t>1</w:t>
      </w:r>
      <w:r>
        <w:rPr>
          <w:rFonts w:hint="eastAsia"/>
          <w:b/>
          <w:color w:val="auto"/>
          <w:lang w:val="en-US" w:eastAsia="zh-CN"/>
        </w:rPr>
        <w:t>2</w:t>
      </w:r>
      <w:r>
        <w:rPr>
          <w:b/>
          <w:color w:val="auto"/>
        </w:rPr>
        <w:t>月</w:t>
      </w:r>
      <w:r>
        <w:rPr>
          <w:rFonts w:hint="eastAsia"/>
          <w:b/>
          <w:color w:val="auto"/>
          <w:lang w:val="en-US" w:eastAsia="zh-CN"/>
        </w:rPr>
        <w:t>4</w:t>
      </w:r>
      <w:r>
        <w:rPr>
          <w:b/>
          <w:color w:val="auto"/>
        </w:rPr>
        <w:t>日</w:t>
      </w:r>
    </w:p>
    <w:p>
      <w:pPr>
        <w:pStyle w:val="7"/>
        <w:ind w:firstLine="0" w:firstLineChars="0"/>
        <w:rPr>
          <w:b/>
          <w:color w:val="auto"/>
        </w:rPr>
      </w:pPr>
      <w:r>
        <w:rPr>
          <w:b/>
          <w:color w:val="auto"/>
        </w:rPr>
        <w:t>附件</w:t>
      </w:r>
    </w:p>
    <w:p>
      <w:pPr>
        <w:pStyle w:val="7"/>
        <w:ind w:firstLine="0" w:firstLineChars="0"/>
        <w:rPr>
          <w:rFonts w:hint="eastAsia" w:eastAsia="宋体"/>
          <w:b/>
          <w:color w:val="auto"/>
          <w:lang w:eastAsia="zh-CN"/>
        </w:rPr>
      </w:pPr>
      <w:r>
        <w:rPr>
          <w:rFonts w:hint="eastAsia" w:eastAsia="宋体"/>
          <w:b/>
          <w:color w:val="auto"/>
          <w:lang w:eastAsia="zh-CN"/>
        </w:rPr>
        <w:drawing>
          <wp:inline distT="0" distB="0" distL="114300" distR="114300">
            <wp:extent cx="5268595" cy="7454900"/>
            <wp:effectExtent l="0" t="0" r="8255" b="12700"/>
            <wp:docPr id="1" name="图片 1" descr="艾佳华签到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艾佳华签到表"/>
                    <pic:cNvPicPr>
                      <a:picLocks noChangeAspect="1"/>
                    </pic:cNvPicPr>
                  </pic:nvPicPr>
                  <pic:blipFill>
                    <a:blip r:embed="rId4"/>
                    <a:stretch>
                      <a:fillRect/>
                    </a:stretch>
                  </pic:blipFill>
                  <pic:spPr>
                    <a:xfrm>
                      <a:off x="0" y="0"/>
                      <a:ext cx="5268595" cy="7454900"/>
                    </a:xfrm>
                    <a:prstGeom prst="rect">
                      <a:avLst/>
                    </a:prstGeom>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2"/>
      <w:numFmt w:val="decimal"/>
      <w:suff w:val="nothing"/>
      <w:lvlText w:val="%1、"/>
      <w:lvlJc w:val="left"/>
    </w:lvl>
  </w:abstractNum>
  <w:abstractNum w:abstractNumId="1">
    <w:nsid w:val="00000003"/>
    <w:multiLevelType w:val="multilevel"/>
    <w:tmpl w:val="00000003"/>
    <w:lvl w:ilvl="0" w:tentative="0">
      <w:start w:val="1"/>
      <w:numFmt w:val="decimal"/>
      <w:pStyle w:val="6"/>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D5952B"/>
    <w:multiLevelType w:val="multilevel"/>
    <w:tmpl w:val="5AD5952B"/>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26DB"/>
    <w:rsid w:val="0004316F"/>
    <w:rsid w:val="00046689"/>
    <w:rsid w:val="00080282"/>
    <w:rsid w:val="0008626B"/>
    <w:rsid w:val="000C2083"/>
    <w:rsid w:val="00111A43"/>
    <w:rsid w:val="00172A27"/>
    <w:rsid w:val="001A4593"/>
    <w:rsid w:val="001D438D"/>
    <w:rsid w:val="001D5F8B"/>
    <w:rsid w:val="002047D0"/>
    <w:rsid w:val="00266DB1"/>
    <w:rsid w:val="00283751"/>
    <w:rsid w:val="002972B9"/>
    <w:rsid w:val="002B366B"/>
    <w:rsid w:val="002E4A00"/>
    <w:rsid w:val="003256B6"/>
    <w:rsid w:val="00340D7A"/>
    <w:rsid w:val="0036202A"/>
    <w:rsid w:val="0038736E"/>
    <w:rsid w:val="003A29EB"/>
    <w:rsid w:val="003A3A5B"/>
    <w:rsid w:val="003F501F"/>
    <w:rsid w:val="004122AD"/>
    <w:rsid w:val="00426FA0"/>
    <w:rsid w:val="004271CF"/>
    <w:rsid w:val="00434CE2"/>
    <w:rsid w:val="00495638"/>
    <w:rsid w:val="004E5097"/>
    <w:rsid w:val="005A2641"/>
    <w:rsid w:val="005D0625"/>
    <w:rsid w:val="00604318"/>
    <w:rsid w:val="006373CA"/>
    <w:rsid w:val="00642711"/>
    <w:rsid w:val="0066383F"/>
    <w:rsid w:val="00693228"/>
    <w:rsid w:val="006B0DBA"/>
    <w:rsid w:val="006B267D"/>
    <w:rsid w:val="00714E0F"/>
    <w:rsid w:val="007D77DF"/>
    <w:rsid w:val="008C329F"/>
    <w:rsid w:val="008E7CB5"/>
    <w:rsid w:val="0094028D"/>
    <w:rsid w:val="0095282C"/>
    <w:rsid w:val="0097398A"/>
    <w:rsid w:val="00975183"/>
    <w:rsid w:val="009825B4"/>
    <w:rsid w:val="009F7121"/>
    <w:rsid w:val="00A24DC0"/>
    <w:rsid w:val="00A61FFD"/>
    <w:rsid w:val="00A64283"/>
    <w:rsid w:val="00A67A22"/>
    <w:rsid w:val="00A85A97"/>
    <w:rsid w:val="00A94973"/>
    <w:rsid w:val="00AC296D"/>
    <w:rsid w:val="00AE16C4"/>
    <w:rsid w:val="00AF5C36"/>
    <w:rsid w:val="00B208CD"/>
    <w:rsid w:val="00B327F8"/>
    <w:rsid w:val="00B36123"/>
    <w:rsid w:val="00BC456A"/>
    <w:rsid w:val="00BF384F"/>
    <w:rsid w:val="00C354C5"/>
    <w:rsid w:val="00C51F91"/>
    <w:rsid w:val="00CB59DD"/>
    <w:rsid w:val="00CD0D5C"/>
    <w:rsid w:val="00D0439D"/>
    <w:rsid w:val="00D16550"/>
    <w:rsid w:val="00D25D05"/>
    <w:rsid w:val="00D435D6"/>
    <w:rsid w:val="00DA1182"/>
    <w:rsid w:val="00DD5802"/>
    <w:rsid w:val="00DE06B2"/>
    <w:rsid w:val="00DF2B52"/>
    <w:rsid w:val="00E330C8"/>
    <w:rsid w:val="00E45308"/>
    <w:rsid w:val="00E4588E"/>
    <w:rsid w:val="00E8719A"/>
    <w:rsid w:val="00EB0B1F"/>
    <w:rsid w:val="00F36408"/>
    <w:rsid w:val="00F46FF0"/>
    <w:rsid w:val="00F53509"/>
    <w:rsid w:val="00F71D3D"/>
    <w:rsid w:val="00F94A3A"/>
    <w:rsid w:val="00FC6DAD"/>
    <w:rsid w:val="00FE1674"/>
    <w:rsid w:val="00FF7AFE"/>
    <w:rsid w:val="02121034"/>
    <w:rsid w:val="03F95709"/>
    <w:rsid w:val="0665475D"/>
    <w:rsid w:val="070413CE"/>
    <w:rsid w:val="07085CF6"/>
    <w:rsid w:val="093D597C"/>
    <w:rsid w:val="0B014C0B"/>
    <w:rsid w:val="0B803FC8"/>
    <w:rsid w:val="12D15680"/>
    <w:rsid w:val="138111F4"/>
    <w:rsid w:val="145C5613"/>
    <w:rsid w:val="14B01B4F"/>
    <w:rsid w:val="15C924D4"/>
    <w:rsid w:val="169719E6"/>
    <w:rsid w:val="16BC4180"/>
    <w:rsid w:val="17C23BB3"/>
    <w:rsid w:val="17FD1573"/>
    <w:rsid w:val="18BC2664"/>
    <w:rsid w:val="19FA3C41"/>
    <w:rsid w:val="1FA85637"/>
    <w:rsid w:val="26B959DF"/>
    <w:rsid w:val="285D4D5C"/>
    <w:rsid w:val="29567E6D"/>
    <w:rsid w:val="29DB7696"/>
    <w:rsid w:val="2A2D16D8"/>
    <w:rsid w:val="2B9B7B8E"/>
    <w:rsid w:val="2C6D70C5"/>
    <w:rsid w:val="2CDB6449"/>
    <w:rsid w:val="2E3E09D3"/>
    <w:rsid w:val="2EB13E56"/>
    <w:rsid w:val="2F1D68F3"/>
    <w:rsid w:val="30B77645"/>
    <w:rsid w:val="31562CFF"/>
    <w:rsid w:val="32850653"/>
    <w:rsid w:val="33565806"/>
    <w:rsid w:val="34316440"/>
    <w:rsid w:val="36601EAC"/>
    <w:rsid w:val="36D113E3"/>
    <w:rsid w:val="371D4058"/>
    <w:rsid w:val="3730755E"/>
    <w:rsid w:val="37514DBE"/>
    <w:rsid w:val="395A7D8E"/>
    <w:rsid w:val="3A2E74B0"/>
    <w:rsid w:val="3BF51ADB"/>
    <w:rsid w:val="3E961354"/>
    <w:rsid w:val="3E9A11DE"/>
    <w:rsid w:val="3F4D2A4A"/>
    <w:rsid w:val="3FF92D34"/>
    <w:rsid w:val="44CB332D"/>
    <w:rsid w:val="477B51B7"/>
    <w:rsid w:val="48A9499E"/>
    <w:rsid w:val="48D64B11"/>
    <w:rsid w:val="4B152317"/>
    <w:rsid w:val="4EE95333"/>
    <w:rsid w:val="4F552004"/>
    <w:rsid w:val="508306AC"/>
    <w:rsid w:val="50A433B5"/>
    <w:rsid w:val="56D8426C"/>
    <w:rsid w:val="59373F83"/>
    <w:rsid w:val="5EBD2690"/>
    <w:rsid w:val="5FFC5685"/>
    <w:rsid w:val="600848BF"/>
    <w:rsid w:val="63E820D9"/>
    <w:rsid w:val="647E24A4"/>
    <w:rsid w:val="657B3C7D"/>
    <w:rsid w:val="67613428"/>
    <w:rsid w:val="68CC14F7"/>
    <w:rsid w:val="695E4127"/>
    <w:rsid w:val="6A905C68"/>
    <w:rsid w:val="6C977B5A"/>
    <w:rsid w:val="738B4D40"/>
    <w:rsid w:val="74225E19"/>
    <w:rsid w:val="74DF1E08"/>
    <w:rsid w:val="78907CB0"/>
    <w:rsid w:val="78DE16F4"/>
    <w:rsid w:val="79F46245"/>
    <w:rsid w:val="7AC331D4"/>
    <w:rsid w:val="7B3F2C5C"/>
    <w:rsid w:val="7BB70182"/>
    <w:rsid w:val="7C1B0CAB"/>
    <w:rsid w:val="7D810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Times New Roman" w:hAnsi="Times New Roman" w:eastAsia="宋体" w:cs="Times New Roman"/>
      <w:kern w:val="2"/>
      <w:sz w:val="24"/>
      <w:szCs w:val="24"/>
      <w:lang w:val="en-US" w:eastAsia="zh-CN" w:bidi="ar-SA"/>
    </w:rPr>
  </w:style>
  <w:style w:type="paragraph" w:styleId="3">
    <w:name w:val="heading 1"/>
    <w:basedOn w:val="4"/>
    <w:next w:val="1"/>
    <w:qFormat/>
    <w:uiPriority w:val="0"/>
    <w:pPr>
      <w:keepLines/>
      <w:widowControl/>
      <w:adjustRightInd/>
      <w:snapToGrid/>
      <w:ind w:left="0" w:firstLine="0"/>
      <w:outlineLvl w:val="0"/>
    </w:pPr>
    <w:rPr>
      <w:color w:val="000000"/>
      <w:kern w:val="0"/>
    </w:rPr>
  </w:style>
  <w:style w:type="paragraph" w:styleId="4">
    <w:name w:val="heading 2"/>
    <w:basedOn w:val="1"/>
    <w:next w:val="5"/>
    <w:qFormat/>
    <w:uiPriority w:val="0"/>
    <w:pPr>
      <w:keepNext/>
      <w:adjustRightInd w:val="0"/>
      <w:snapToGrid w:val="0"/>
      <w:spacing w:before="156" w:beforeLines="50"/>
      <w:ind w:left="420" w:hanging="420"/>
      <w:outlineLvl w:val="1"/>
    </w:pPr>
    <w:rPr>
      <w:b/>
    </w:rPr>
  </w:style>
  <w:style w:type="paragraph" w:styleId="6">
    <w:name w:val="heading 3"/>
    <w:basedOn w:val="1"/>
    <w:next w:val="7"/>
    <w:qFormat/>
    <w:uiPriority w:val="0"/>
    <w:pPr>
      <w:keepNext/>
      <w:keepLines/>
      <w:numPr>
        <w:ilvl w:val="0"/>
        <w:numId w:val="1"/>
      </w:numPr>
      <w:outlineLvl w:val="2"/>
    </w:pPr>
    <w:rPr>
      <w:b/>
      <w:bCs/>
      <w:szCs w:val="32"/>
    </w:rPr>
  </w:style>
  <w:style w:type="paragraph" w:styleId="8">
    <w:name w:val="heading 4"/>
    <w:basedOn w:val="1"/>
    <w:next w:val="7"/>
    <w:qFormat/>
    <w:uiPriority w:val="0"/>
    <w:pPr>
      <w:keepNext/>
      <w:keepLines/>
      <w:jc w:val="both"/>
      <w:outlineLvl w:val="3"/>
    </w:pPr>
    <w:rPr>
      <w:b/>
      <w:bCs/>
    </w:rPr>
  </w:style>
  <w:style w:type="paragraph" w:styleId="9">
    <w:name w:val="heading 5"/>
    <w:basedOn w:val="7"/>
    <w:next w:val="1"/>
    <w:qFormat/>
    <w:uiPriority w:val="0"/>
    <w:pPr>
      <w:outlineLvl w:val="4"/>
    </w:p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0"/>
    <w:pPr>
      <w:jc w:val="center"/>
    </w:pPr>
  </w:style>
  <w:style w:type="paragraph" w:styleId="5">
    <w:name w:val="Normal Indent"/>
    <w:basedOn w:val="1"/>
    <w:qFormat/>
    <w:uiPriority w:val="0"/>
    <w:pPr>
      <w:ind w:firstLine="420"/>
    </w:pPr>
  </w:style>
  <w:style w:type="paragraph" w:customStyle="1" w:styleId="7">
    <w:name w:val="正文小四"/>
    <w:basedOn w:val="1"/>
    <w:qFormat/>
    <w:uiPriority w:val="0"/>
    <w:pPr>
      <w:ind w:firstLine="200" w:firstLineChars="200"/>
    </w:pPr>
  </w:style>
  <w:style w:type="paragraph" w:styleId="10">
    <w:name w:val="toc 7"/>
    <w:basedOn w:val="1"/>
    <w:next w:val="1"/>
    <w:qFormat/>
    <w:uiPriority w:val="0"/>
    <w:pPr>
      <w:ind w:left="1440"/>
    </w:pPr>
    <w:rPr>
      <w:sz w:val="18"/>
      <w:szCs w:val="18"/>
    </w:rPr>
  </w:style>
  <w:style w:type="paragraph" w:styleId="11">
    <w:name w:val="Document Map"/>
    <w:basedOn w:val="1"/>
    <w:qFormat/>
    <w:uiPriority w:val="0"/>
    <w:pPr>
      <w:shd w:val="clear" w:color="auto" w:fill="000080"/>
    </w:pPr>
  </w:style>
  <w:style w:type="paragraph" w:styleId="12">
    <w:name w:val="annotation text"/>
    <w:basedOn w:val="1"/>
    <w:qFormat/>
    <w:uiPriority w:val="0"/>
  </w:style>
  <w:style w:type="paragraph" w:styleId="13">
    <w:name w:val="toc 5"/>
    <w:basedOn w:val="1"/>
    <w:next w:val="1"/>
    <w:qFormat/>
    <w:uiPriority w:val="0"/>
    <w:pPr>
      <w:ind w:left="960"/>
    </w:pPr>
    <w:rPr>
      <w:sz w:val="18"/>
      <w:szCs w:val="18"/>
    </w:rPr>
  </w:style>
  <w:style w:type="paragraph" w:styleId="14">
    <w:name w:val="toc 3"/>
    <w:basedOn w:val="1"/>
    <w:next w:val="1"/>
    <w:qFormat/>
    <w:uiPriority w:val="0"/>
    <w:pPr>
      <w:ind w:left="480"/>
    </w:pPr>
    <w:rPr>
      <w:i/>
      <w:iCs/>
      <w:sz w:val="20"/>
      <w:szCs w:val="20"/>
    </w:rPr>
  </w:style>
  <w:style w:type="paragraph" w:styleId="15">
    <w:name w:val="toc 8"/>
    <w:basedOn w:val="1"/>
    <w:next w:val="1"/>
    <w:qFormat/>
    <w:uiPriority w:val="0"/>
    <w:pPr>
      <w:ind w:left="1680"/>
    </w:pPr>
    <w:rPr>
      <w:sz w:val="18"/>
      <w:szCs w:val="18"/>
    </w:rPr>
  </w:style>
  <w:style w:type="paragraph" w:styleId="16">
    <w:name w:val="Balloon Text"/>
    <w:basedOn w:val="1"/>
    <w:qFormat/>
    <w:uiPriority w:val="0"/>
    <w:rPr>
      <w:sz w:val="18"/>
      <w:szCs w:val="18"/>
    </w:rPr>
  </w:style>
  <w:style w:type="paragraph" w:styleId="17">
    <w:name w:val="footer"/>
    <w:basedOn w:val="1"/>
    <w:link w:val="34"/>
    <w:qFormat/>
    <w:uiPriority w:val="0"/>
    <w:pPr>
      <w:tabs>
        <w:tab w:val="center" w:pos="4153"/>
        <w:tab w:val="right" w:pos="8306"/>
      </w:tabs>
      <w:snapToGrid w:val="0"/>
      <w:spacing w:line="240" w:lineRule="auto"/>
    </w:pPr>
    <w:rPr>
      <w:sz w:val="18"/>
      <w:szCs w:val="18"/>
    </w:rPr>
  </w:style>
  <w:style w:type="paragraph" w:styleId="18">
    <w:name w:val="header"/>
    <w:basedOn w:val="1"/>
    <w:link w:val="33"/>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qFormat/>
    <w:uiPriority w:val="0"/>
    <w:pPr>
      <w:spacing w:before="50" w:beforeLines="50"/>
    </w:pPr>
    <w:rPr>
      <w:b/>
      <w:bCs/>
      <w:caps/>
      <w:szCs w:val="20"/>
    </w:rPr>
  </w:style>
  <w:style w:type="paragraph" w:styleId="20">
    <w:name w:val="toc 4"/>
    <w:basedOn w:val="1"/>
    <w:next w:val="1"/>
    <w:qFormat/>
    <w:uiPriority w:val="0"/>
    <w:pPr>
      <w:ind w:left="720"/>
    </w:pPr>
    <w:rPr>
      <w:sz w:val="18"/>
      <w:szCs w:val="18"/>
    </w:rPr>
  </w:style>
  <w:style w:type="paragraph" w:styleId="21">
    <w:name w:val="toc 6"/>
    <w:basedOn w:val="1"/>
    <w:next w:val="1"/>
    <w:qFormat/>
    <w:uiPriority w:val="0"/>
    <w:pPr>
      <w:ind w:left="1200"/>
    </w:pPr>
    <w:rPr>
      <w:sz w:val="18"/>
      <w:szCs w:val="18"/>
    </w:rPr>
  </w:style>
  <w:style w:type="paragraph" w:styleId="22">
    <w:name w:val="toc 2"/>
    <w:basedOn w:val="1"/>
    <w:next w:val="1"/>
    <w:qFormat/>
    <w:uiPriority w:val="0"/>
    <w:pPr>
      <w:spacing w:line="360" w:lineRule="exact"/>
      <w:ind w:left="238"/>
    </w:pPr>
    <w:rPr>
      <w:smallCaps/>
      <w:sz w:val="21"/>
      <w:szCs w:val="20"/>
    </w:rPr>
  </w:style>
  <w:style w:type="paragraph" w:styleId="23">
    <w:name w:val="toc 9"/>
    <w:basedOn w:val="1"/>
    <w:next w:val="1"/>
    <w:qFormat/>
    <w:uiPriority w:val="0"/>
    <w:pPr>
      <w:ind w:left="1920"/>
    </w:pPr>
    <w:rPr>
      <w:sz w:val="18"/>
      <w:szCs w:val="18"/>
    </w:rPr>
  </w:style>
  <w:style w:type="paragraph" w:styleId="24">
    <w:name w:val="Body Text 2"/>
    <w:basedOn w:val="1"/>
    <w:link w:val="46"/>
    <w:qFormat/>
    <w:uiPriority w:val="0"/>
    <w:pPr>
      <w:spacing w:after="120" w:line="480" w:lineRule="auto"/>
      <w:jc w:val="both"/>
    </w:pPr>
    <w:rPr>
      <w:sz w:val="21"/>
      <w:szCs w:val="20"/>
    </w:rPr>
  </w:style>
  <w:style w:type="paragraph" w:styleId="25">
    <w:name w:val="Normal (Web)"/>
    <w:basedOn w:val="1"/>
    <w:qFormat/>
    <w:uiPriority w:val="0"/>
  </w:style>
  <w:style w:type="paragraph" w:styleId="26">
    <w:name w:val="annotation subject"/>
    <w:basedOn w:val="12"/>
    <w:next w:val="12"/>
    <w:link w:val="31"/>
    <w:qFormat/>
    <w:uiPriority w:val="0"/>
    <w:rPr>
      <w:b/>
      <w:bCs/>
    </w:rPr>
  </w:style>
  <w:style w:type="table" w:styleId="28">
    <w:name w:val="Table Grid"/>
    <w:basedOn w:val="27"/>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30">
    <w:name w:val="annotation reference"/>
    <w:qFormat/>
    <w:uiPriority w:val="0"/>
    <w:rPr>
      <w:rFonts w:ascii="Times New Roman" w:hAnsi="Times New Roman" w:eastAsia="宋体" w:cs="Times New Roman"/>
      <w:sz w:val="21"/>
      <w:szCs w:val="21"/>
    </w:rPr>
  </w:style>
  <w:style w:type="character" w:customStyle="1" w:styleId="31">
    <w:name w:val="批注主题 Char"/>
    <w:link w:val="26"/>
    <w:qFormat/>
    <w:uiPriority w:val="0"/>
    <w:rPr>
      <w:rFonts w:ascii="Times New Roman" w:hAnsi="Times New Roman" w:eastAsia="宋体" w:cs="Times New Roman"/>
      <w:b/>
      <w:bCs/>
      <w:kern w:val="2"/>
      <w:sz w:val="24"/>
      <w:szCs w:val="24"/>
    </w:rPr>
  </w:style>
  <w:style w:type="character" w:customStyle="1" w:styleId="32">
    <w:name w:val="font51"/>
    <w:qFormat/>
    <w:uiPriority w:val="0"/>
    <w:rPr>
      <w:rFonts w:hint="default" w:ascii="Times New Roman" w:hAnsi="Times New Roman" w:eastAsia="宋体" w:cs="Times New Roman"/>
      <w:color w:val="000000"/>
      <w:sz w:val="21"/>
      <w:szCs w:val="21"/>
      <w:u w:val="none"/>
    </w:rPr>
  </w:style>
  <w:style w:type="character" w:customStyle="1" w:styleId="33">
    <w:name w:val="页眉 Char"/>
    <w:link w:val="18"/>
    <w:qFormat/>
    <w:uiPriority w:val="0"/>
    <w:rPr>
      <w:rFonts w:ascii="Times New Roman" w:hAnsi="Times New Roman" w:eastAsia="宋体" w:cs="Times New Roman"/>
      <w:kern w:val="2"/>
      <w:sz w:val="18"/>
      <w:szCs w:val="18"/>
    </w:rPr>
  </w:style>
  <w:style w:type="character" w:customStyle="1" w:styleId="34">
    <w:name w:val="页脚 Char"/>
    <w:link w:val="17"/>
    <w:qFormat/>
    <w:uiPriority w:val="0"/>
    <w:rPr>
      <w:rFonts w:ascii="Times New Roman" w:hAnsi="Times New Roman" w:eastAsia="宋体" w:cs="Times New Roman"/>
      <w:kern w:val="2"/>
      <w:sz w:val="18"/>
      <w:szCs w:val="18"/>
    </w:rPr>
  </w:style>
  <w:style w:type="paragraph" w:customStyle="1" w:styleId="35">
    <w:name w:val="表格"/>
    <w:qFormat/>
    <w:uiPriority w:val="0"/>
    <w:pPr>
      <w:spacing w:line="360" w:lineRule="exact"/>
      <w:jc w:val="center"/>
    </w:pPr>
    <w:rPr>
      <w:rFonts w:ascii="Times New Roman" w:hAnsi="Times New Roman" w:eastAsia="宋体" w:cs="Times New Roman"/>
      <w:kern w:val="2"/>
      <w:sz w:val="21"/>
      <w:szCs w:val="21"/>
      <w:lang w:val="en-US" w:eastAsia="zh-CN" w:bidi="ar-SA"/>
    </w:rPr>
  </w:style>
  <w:style w:type="paragraph" w:customStyle="1" w:styleId="36">
    <w:name w:val="表格标题"/>
    <w:next w:val="35"/>
    <w:qFormat/>
    <w:uiPriority w:val="0"/>
    <w:pPr>
      <w:spacing w:line="360" w:lineRule="auto"/>
      <w:jc w:val="center"/>
    </w:pPr>
    <w:rPr>
      <w:rFonts w:ascii="Times New Roman" w:hAnsi="Times New Roman" w:eastAsia="宋体" w:cs="Times New Roman"/>
      <w:b/>
      <w:kern w:val="2"/>
      <w:sz w:val="24"/>
      <w:szCs w:val="24"/>
      <w:lang w:val="en-US" w:eastAsia="zh-CN" w:bidi="ar-SA"/>
    </w:rPr>
  </w:style>
  <w:style w:type="paragraph" w:customStyle="1" w:styleId="37">
    <w:name w:val="列出段落1"/>
    <w:basedOn w:val="1"/>
    <w:qFormat/>
    <w:uiPriority w:val="0"/>
    <w:pPr>
      <w:spacing w:line="240" w:lineRule="auto"/>
      <w:ind w:firstLine="420"/>
    </w:pPr>
    <w:rPr>
      <w:sz w:val="21"/>
      <w:szCs w:val="20"/>
    </w:rPr>
  </w:style>
  <w:style w:type="paragraph" w:customStyle="1" w:styleId="38">
    <w:name w:val="君邦正文"/>
    <w:basedOn w:val="1"/>
    <w:link w:val="47"/>
    <w:qFormat/>
    <w:uiPriority w:val="0"/>
    <w:pPr>
      <w:spacing w:after="60"/>
      <w:ind w:firstLine="200" w:firstLineChars="200"/>
    </w:pPr>
  </w:style>
  <w:style w:type="paragraph" w:customStyle="1" w:styleId="3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标题4"/>
    <w:next w:val="7"/>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41">
    <w:name w:val="报告书正文"/>
    <w:basedOn w:val="1"/>
    <w:qFormat/>
    <w:uiPriority w:val="0"/>
    <w:pPr>
      <w:widowControl/>
      <w:ind w:firstLine="480" w:firstLineChars="200"/>
      <w:jc w:val="both"/>
    </w:pPr>
  </w:style>
  <w:style w:type="paragraph" w:customStyle="1" w:styleId="42">
    <w:name w:val="1-正文"/>
    <w:basedOn w:val="1"/>
    <w:qFormat/>
    <w:uiPriority w:val="0"/>
    <w:pPr>
      <w:spacing w:after="60"/>
      <w:ind w:firstLine="200"/>
    </w:pPr>
    <w:rPr>
      <w:rFonts w:ascii="Calibri" w:hAnsi="Calibri"/>
    </w:rPr>
  </w:style>
  <w:style w:type="paragraph" w:customStyle="1" w:styleId="43">
    <w:name w:val="报告表正文"/>
    <w:basedOn w:val="1"/>
    <w:qFormat/>
    <w:uiPriority w:val="0"/>
    <w:pPr>
      <w:spacing w:line="480" w:lineRule="atLeast"/>
      <w:ind w:firstLine="960"/>
    </w:pPr>
  </w:style>
  <w:style w:type="table" w:customStyle="1" w:styleId="44">
    <w:name w:val="网格型1"/>
    <w:basedOn w:val="27"/>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5">
    <w:name w:val="Table Paragraph"/>
    <w:basedOn w:val="1"/>
    <w:qFormat/>
    <w:uiPriority w:val="1"/>
    <w:pPr>
      <w:spacing w:line="240" w:lineRule="auto"/>
      <w:jc w:val="center"/>
    </w:pPr>
    <w:rPr>
      <w:rFonts w:ascii="宋体" w:hAnsi="宋体" w:cs="宋体"/>
      <w:sz w:val="21"/>
      <w:szCs w:val="20"/>
      <w:lang w:val="zh-CN" w:bidi="zh-CN"/>
    </w:rPr>
  </w:style>
  <w:style w:type="character" w:customStyle="1" w:styleId="46">
    <w:name w:val="正文文本 2 Char"/>
    <w:link w:val="24"/>
    <w:qFormat/>
    <w:uiPriority w:val="0"/>
    <w:rPr>
      <w:rFonts w:ascii="Times New Roman" w:hAnsi="Times New Roman" w:eastAsia="宋体" w:cs="Times New Roman"/>
      <w:kern w:val="2"/>
      <w:sz w:val="21"/>
    </w:rPr>
  </w:style>
  <w:style w:type="character" w:customStyle="1" w:styleId="47">
    <w:name w:val="君邦正文 Char2"/>
    <w:link w:val="38"/>
    <w:qFormat/>
    <w:uiPriority w:val="0"/>
    <w:rPr>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13B42B-C1EB-48C9-9522-39EF9CF6556F}">
  <ds:schemaRefs/>
</ds:datastoreItem>
</file>

<file path=docProps/app.xml><?xml version="1.0" encoding="utf-8"?>
<Properties xmlns="http://schemas.openxmlformats.org/officeDocument/2006/extended-properties" xmlns:vt="http://schemas.openxmlformats.org/officeDocument/2006/docPropsVTypes">
  <Template>Normal.dotm</Template>
  <Company>whict</Company>
  <Pages>1</Pages>
  <Words>2456</Words>
  <Characters>2883</Characters>
  <Lines>1</Lines>
  <Paragraphs>1</Paragraphs>
  <TotalTime>7</TotalTime>
  <ScaleCrop>false</ScaleCrop>
  <LinksUpToDate>false</LinksUpToDate>
  <CharactersWithSpaces>2883</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2019-11-02T09:42:00Z</dcterms:created>
  <dc:creator>pc</dc:creator>
  <cp:lastModifiedBy>恋恋</cp:lastModifiedBy>
  <dcterms:modified xsi:type="dcterms:W3CDTF">2020-01-03T02:02:39Z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